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DE72B" w14:textId="77777777" w:rsidR="003C5EC4" w:rsidRDefault="003C5EC4" w:rsidP="003C5EC4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  <w:t>Liceo Scientifico Statale “Morgagni” - Roma</w:t>
      </w:r>
    </w:p>
    <w:p w14:paraId="17DA3364" w14:textId="5C58B5F3" w:rsidR="003C5EC4" w:rsidRDefault="003C5EC4" w:rsidP="003C5EC4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  <w:t>a. s. 202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  <w:t>5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  <w:t>-202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  <w:t>6</w:t>
      </w:r>
    </w:p>
    <w:p w14:paraId="28F24F58" w14:textId="77777777" w:rsidR="003C5EC4" w:rsidRDefault="003C5EC4" w:rsidP="003C5EC4">
      <w:pPr>
        <w:tabs>
          <w:tab w:val="left" w:pos="1339"/>
        </w:tabs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</w:pPr>
    </w:p>
    <w:p w14:paraId="72DAB427" w14:textId="77777777" w:rsidR="003C5EC4" w:rsidRDefault="003C5EC4" w:rsidP="003C5EC4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CLASSE V-I</w:t>
      </w:r>
    </w:p>
    <w:p w14:paraId="4B3E21CF" w14:textId="77777777" w:rsidR="003C5EC4" w:rsidRDefault="003C5EC4" w:rsidP="003C5EC4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Docente – G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  <w14:ligatures w14:val="none"/>
        </w:rPr>
        <w:t>iovanna Verna</w:t>
      </w:r>
    </w:p>
    <w:p w14:paraId="29A3D825" w14:textId="77777777" w:rsidR="003C5EC4" w:rsidRDefault="003C5EC4" w:rsidP="003C5EC4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0DA7C408" w14:textId="77777777" w:rsidR="003C5EC4" w:rsidRDefault="003C5EC4" w:rsidP="003C5EC4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</w:p>
    <w:p w14:paraId="78183068" w14:textId="77777777" w:rsidR="003C5EC4" w:rsidRDefault="003C5EC4" w:rsidP="003C5EC4">
      <w:pPr>
        <w:spacing w:after="0" w:line="240" w:lineRule="auto"/>
        <w:ind w:left="270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PROGRAMMA DI LATINO</w:t>
      </w:r>
    </w:p>
    <w:p w14:paraId="53060D40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2A3739AD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>Testi adottati:</w:t>
      </w:r>
    </w:p>
    <w:p w14:paraId="23AC6B21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28969D31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R. CORTI – M. FUCECCHI,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Testis temporum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2.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L’età di Augusto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Bologna, Zanichelli, 2023</w:t>
      </w:r>
    </w:p>
    <w:p w14:paraId="3519303A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bookmarkStart w:id="0" w:name="_Hlk197235067"/>
    </w:p>
    <w:p w14:paraId="225BE93A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    R. CORTI – M. FUCECCHI,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Testis temporum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 3. </w:t>
      </w:r>
      <w:r>
        <w:rPr>
          <w:rFonts w:ascii="Times New Roman" w:eastAsia="Lucida Sans Unicode" w:hAnsi="Times New Roman" w:cs="Times New Roman"/>
          <w:i/>
          <w:lang w:eastAsia="ar-SA"/>
          <w14:ligatures w14:val="none"/>
        </w:rPr>
        <w:t>L’età imperiale</w:t>
      </w:r>
      <w:r>
        <w:rPr>
          <w:rFonts w:ascii="Times New Roman" w:eastAsia="Lucida Sans Unicode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Lucida Sans Unicode" w:hAnsi="Times New Roman" w:cs="Times New Roman"/>
          <w:iCs/>
          <w:lang w:eastAsia="ar-SA"/>
          <w14:ligatures w14:val="none"/>
        </w:rPr>
        <w:t>Bologna, Zanichelli, 2023</w:t>
      </w:r>
    </w:p>
    <w:p w14:paraId="3B0F2CD7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iCs/>
          <w:lang w:eastAsia="ar-SA"/>
          <w14:ligatures w14:val="none"/>
        </w:rPr>
      </w:pPr>
    </w:p>
    <w:bookmarkEnd w:id="0"/>
    <w:p w14:paraId="5037F49E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0DB03A4D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3CB95AD7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 U. d. 1. </w:t>
      </w: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OVIDIO</w:t>
      </w:r>
    </w:p>
    <w:p w14:paraId="2DDEACCB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 - La vita</w:t>
      </w:r>
    </w:p>
    <w:p w14:paraId="5297B48C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 - Le </w:t>
      </w:r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Metamorfosi</w:t>
      </w:r>
    </w:p>
    <w:p w14:paraId="20F63FAB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21F550AD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Testi:</w:t>
      </w:r>
    </w:p>
    <w:p w14:paraId="5B24B03F" w14:textId="77777777" w:rsidR="003C5EC4" w:rsidRDefault="003C5EC4" w:rsidP="003C5EC4">
      <w:pPr>
        <w:pStyle w:val="Paragrafoelenco"/>
        <w:widowControl w:val="0"/>
        <w:numPr>
          <w:ilvl w:val="0"/>
          <w:numId w:val="1"/>
        </w:numPr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OVIDIO, </w:t>
      </w:r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Metamorfosi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1, vv. 452-567 (Apollo e Dafne) – in traduzione italiana</w:t>
      </w:r>
    </w:p>
    <w:p w14:paraId="298A51F5" w14:textId="77777777" w:rsidR="003C5EC4" w:rsidRDefault="003C5EC4" w:rsidP="003C5EC4">
      <w:pPr>
        <w:pStyle w:val="Paragrafoelenco"/>
        <w:widowControl w:val="0"/>
        <w:numPr>
          <w:ilvl w:val="0"/>
          <w:numId w:val="1"/>
        </w:numPr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OVIDIO, </w:t>
      </w:r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Metamorfosi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3, vv. 356-401; 494-510 (Eco e Narciso) – in traduzione italiana</w:t>
      </w:r>
    </w:p>
    <w:p w14:paraId="3A76DB27" w14:textId="77777777" w:rsidR="003C5EC4" w:rsidRDefault="003C5EC4" w:rsidP="003C5EC4">
      <w:pPr>
        <w:pStyle w:val="Paragrafoelenco"/>
        <w:widowControl w:val="0"/>
        <w:numPr>
          <w:ilvl w:val="0"/>
          <w:numId w:val="1"/>
        </w:numPr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OVIDIO, </w:t>
      </w:r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Metamorfosi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6, vv. 70-86; 103-114 (Aracne) – in traduzione italiana</w:t>
      </w:r>
    </w:p>
    <w:p w14:paraId="7CC23504" w14:textId="77777777" w:rsidR="003C5EC4" w:rsidRDefault="003C5EC4" w:rsidP="003C5EC4">
      <w:pPr>
        <w:pStyle w:val="Paragrafoelenco"/>
        <w:widowControl w:val="0"/>
        <w:numPr>
          <w:ilvl w:val="0"/>
          <w:numId w:val="1"/>
        </w:numPr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val="en-US" w:eastAsia="ar-SA"/>
          <w14:ligatures w14:val="none"/>
        </w:rPr>
      </w:pPr>
      <w:r>
        <w:rPr>
          <w:rFonts w:ascii="Times New Roman" w:eastAsia="Times New Roman" w:hAnsi="Times New Roman" w:cs="Times New Roman"/>
          <w:lang w:val="en-US" w:eastAsia="ar-SA"/>
          <w14:ligatures w14:val="none"/>
        </w:rPr>
        <w:t xml:space="preserve">OVIDIO, </w:t>
      </w:r>
      <w:r>
        <w:rPr>
          <w:rFonts w:ascii="Times New Roman" w:eastAsia="Times New Roman" w:hAnsi="Times New Roman" w:cs="Times New Roman"/>
          <w:i/>
          <w:lang w:val="en-US" w:eastAsia="ar-SA"/>
          <w14:ligatures w14:val="none"/>
        </w:rPr>
        <w:t>Metamorfosi</w:t>
      </w:r>
      <w:r>
        <w:rPr>
          <w:rFonts w:ascii="Times New Roman" w:eastAsia="Times New Roman" w:hAnsi="Times New Roman" w:cs="Times New Roman"/>
          <w:lang w:val="en-US" w:eastAsia="ar-SA"/>
          <w14:ligatures w14:val="none"/>
        </w:rPr>
        <w:t xml:space="preserve">, 6, vv. 129-145 (Aracne) </w:t>
      </w:r>
    </w:p>
    <w:p w14:paraId="4178D017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val="en-US" w:eastAsia="ar-SA"/>
          <w14:ligatures w14:val="none"/>
        </w:rPr>
      </w:pPr>
    </w:p>
    <w:p w14:paraId="52D3E316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U. d. 2. </w:t>
      </w: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LIVIO</w:t>
      </w:r>
    </w:p>
    <w:p w14:paraId="25BBAFF1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La vita</w:t>
      </w:r>
    </w:p>
    <w:p w14:paraId="2C596813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L’opera</w:t>
      </w:r>
    </w:p>
    <w:p w14:paraId="7CFA6B3A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La concezione storiografica</w:t>
      </w:r>
    </w:p>
    <w:p w14:paraId="2DF09778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01EF92C4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Testi:</w:t>
      </w:r>
    </w:p>
    <w:p w14:paraId="5EDE1735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LIVIO,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Ab urbe condita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Praefatio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, 1-6 (La prefazione) </w:t>
      </w:r>
    </w:p>
    <w:p w14:paraId="092D3A54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LIVIO,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Ab urbe condita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Praefatio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7-13 (La prefazione) – in traduzione italiana</w:t>
      </w:r>
    </w:p>
    <w:p w14:paraId="27236C7A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LIVIO,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Ab urbe condita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I, 56, 4-13 (Bruto lo sciocco) – in traduzione italiana</w:t>
      </w:r>
    </w:p>
    <w:p w14:paraId="1505547F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LIVIO,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Ab urbe condita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, 1, 57-59, 2 (La pudicizia eroica - e tragica – di Lucrezia) </w:t>
      </w:r>
    </w:p>
    <w:p w14:paraId="08874D41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49AB642B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U. d. 3. </w:t>
      </w: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SENECA</w:t>
      </w:r>
    </w:p>
    <w:p w14:paraId="4F2EB03E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Dati biografici e contesto storico</w:t>
      </w:r>
    </w:p>
    <w:p w14:paraId="4D2C2692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Le opere e l’ambiente</w:t>
      </w:r>
    </w:p>
    <w:p w14:paraId="31D08608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La lingua e lo stile</w:t>
      </w:r>
    </w:p>
    <w:p w14:paraId="27B2B654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0E096AB1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Testi:</w:t>
      </w:r>
    </w:p>
    <w:p w14:paraId="1A4EC84B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SENECA,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 xml:space="preserve"> Consolatio ad Polybium, 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7, 1-3; 12, 3-4 (Il sovrano: funzione esemplare e consolatoria) - in traduzione italiana</w:t>
      </w:r>
    </w:p>
    <w:p w14:paraId="5B669D5E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SENECA,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 xml:space="preserve"> Apokolokyntosis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4, 2-3 (Dalle stelle…agli Inferi) - in traduzione italiana</w:t>
      </w:r>
    </w:p>
    <w:p w14:paraId="0AAFFADD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SENECA,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 xml:space="preserve"> De clementia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1, 1, 1-4 (Il volto buono del potere) - in traduzione italiana</w:t>
      </w:r>
    </w:p>
    <w:p w14:paraId="1C37B05A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bookmarkStart w:id="1" w:name="_Hlk196214970"/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 - SENECA,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Ad Lucilium epistulae morales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, 1, 1-5 (Nuove riflessioni – e immagini – sul tempo) </w:t>
      </w:r>
      <w:bookmarkEnd w:id="1"/>
    </w:p>
    <w:p w14:paraId="1F752BCA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SENECA, </w:t>
      </w:r>
      <w:bookmarkStart w:id="2" w:name="_Hlk196215195"/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Ad Lucilium epistulae morales</w:t>
      </w:r>
      <w:bookmarkEnd w:id="2"/>
      <w:r>
        <w:rPr>
          <w:rFonts w:ascii="Times New Roman" w:eastAsia="Times New Roman" w:hAnsi="Times New Roman" w:cs="Times New Roman"/>
          <w:lang w:eastAsia="ar-SA"/>
          <w14:ligatures w14:val="none"/>
        </w:rPr>
        <w:t>, 47, 1-5 («Sono schiavi». No, sono uomini!)</w:t>
      </w:r>
    </w:p>
    <w:p w14:paraId="6D1D959C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SENECA,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 xml:space="preserve"> Ad Lucilium epistulae morales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47, 6-21 (Una comune servitù) - in traduzione italiana</w:t>
      </w:r>
    </w:p>
    <w:p w14:paraId="2301687A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0811CBE4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b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U. d. 4. </w:t>
      </w:r>
      <w:r>
        <w:rPr>
          <w:rFonts w:ascii="Times New Roman" w:eastAsia="Times New Roman" w:hAnsi="Times New Roman" w:cs="Times New Roman"/>
          <w:b/>
          <w:lang w:eastAsia="ar-SA"/>
          <w14:ligatures w14:val="none"/>
        </w:rPr>
        <w:t>LUCANO</w:t>
      </w:r>
    </w:p>
    <w:p w14:paraId="2DC7ACD1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L’autore e il suo tempo</w:t>
      </w:r>
    </w:p>
    <w:p w14:paraId="603D903C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La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Pharsalia</w:t>
      </w:r>
    </w:p>
    <w:p w14:paraId="34D3447C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27F71819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Testi:</w:t>
      </w:r>
    </w:p>
    <w:p w14:paraId="4D6442C2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LUCANO, </w:t>
      </w:r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Pharsalia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1, vv. 1-32 (Il proemio) – in traduzione italiana</w:t>
      </w:r>
    </w:p>
    <w:p w14:paraId="1A61F7DA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LUCANO, </w:t>
      </w:r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 xml:space="preserve">Pharsalia 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1, vv. 120-157 (Pompeo e Cesare: i </w:t>
      </w:r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duces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a confronto) – in traduzione italiana</w:t>
      </w:r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 xml:space="preserve"> </w:t>
      </w:r>
    </w:p>
    <w:p w14:paraId="3B6E24D6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LUCANO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, Pharsalia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, 2, vv. 372-391 (Catone: l’incarnazione del </w:t>
      </w:r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mos maiorum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) – in traduzione italiana</w:t>
      </w:r>
    </w:p>
    <w:p w14:paraId="0B87F9E4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LUCANO,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Pharsalia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6, vv. 750-762; 775781, 802-820 (Il rito della necromanzia) – in traduzione italiana</w:t>
      </w:r>
    </w:p>
    <w:p w14:paraId="7A8A52A0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2790CA2C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b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U. d. 5. </w:t>
      </w:r>
      <w:r>
        <w:rPr>
          <w:rFonts w:ascii="Times New Roman" w:eastAsia="Times New Roman" w:hAnsi="Times New Roman" w:cs="Times New Roman"/>
          <w:b/>
          <w:lang w:eastAsia="ar-SA"/>
          <w14:ligatures w14:val="none"/>
        </w:rPr>
        <w:t>PETRONIO</w:t>
      </w:r>
    </w:p>
    <w:p w14:paraId="78A8D22C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La questione dell’autore del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Satyricon</w:t>
      </w:r>
    </w:p>
    <w:p w14:paraId="7F93DA2A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i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iCs/>
          <w:lang w:eastAsia="ar-SA"/>
          <w14:ligatures w14:val="none"/>
        </w:rPr>
        <w:t>- Contenuto dell’opera</w:t>
      </w:r>
    </w:p>
    <w:p w14:paraId="66258AF2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i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iCs/>
          <w:lang w:eastAsia="ar-SA"/>
          <w14:ligatures w14:val="none"/>
        </w:rPr>
        <w:t>- La questione del genere letterario</w:t>
      </w:r>
    </w:p>
    <w:p w14:paraId="49505256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297380B7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Testi:</w:t>
      </w:r>
    </w:p>
    <w:p w14:paraId="4F1DAD4B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PETRONIO,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Satyricon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, 1,1- 4, 3 (A scuola: dibattito sulla crisi dell’eloquenza) - in traduzione italiana </w:t>
      </w:r>
    </w:p>
    <w:p w14:paraId="408DF4A8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bookmarkStart w:id="3" w:name="_Hlk196214091"/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PETRONIO,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Satyricon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, </w:t>
      </w:r>
      <w:bookmarkEnd w:id="3"/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27-29, 8 (Trimalchione entra in scena) - in traduzione italiana </w:t>
      </w:r>
    </w:p>
    <w:p w14:paraId="20EFA5C7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bookmarkStart w:id="4" w:name="_Hlk196214141"/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PETRONIO,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Satyricon</w:t>
      </w:r>
      <w:bookmarkEnd w:id="4"/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, 31, 3-11; 33-34 (La cena delle meraviglie) - in traduzione italiana  </w:t>
      </w:r>
    </w:p>
    <w:p w14:paraId="24B7877B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PETRONIO,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Satyricon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111-112 (La novella della matrona di Efeso) – in traduzione italiana</w:t>
      </w:r>
    </w:p>
    <w:p w14:paraId="2FD53866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21E17C2B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U. d. 6. </w:t>
      </w:r>
      <w:r>
        <w:rPr>
          <w:rFonts w:ascii="Times New Roman" w:eastAsia="Times New Roman" w:hAnsi="Times New Roman" w:cs="Times New Roman"/>
          <w:b/>
          <w:lang w:eastAsia="ar-SA"/>
          <w14:ligatures w14:val="none"/>
        </w:rPr>
        <w:t>PLINIO IL VECCHIO E PLINIO IL GIOVANE</w:t>
      </w:r>
    </w:p>
    <w:p w14:paraId="626552AA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Il contesto biografico</w:t>
      </w:r>
    </w:p>
    <w:p w14:paraId="642123D0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Le opere, la lingua e lo stile</w:t>
      </w:r>
    </w:p>
    <w:p w14:paraId="6667DD85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39AA13EE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Testi:</w:t>
      </w:r>
    </w:p>
    <w:p w14:paraId="4CCB586B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PLINIO IL VECCHIO, </w:t>
      </w:r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Naturalis historia,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Praefatio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13-16 (L’indagine sulla natura) - in traduzione italiana</w:t>
      </w:r>
    </w:p>
    <w:p w14:paraId="300BDB3C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PLINIO IL GIOVANE,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Epistulae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6, 16, 1-7; 12-21 (Morte di Plinio il Vecchio) – in traduzione italiana</w:t>
      </w:r>
    </w:p>
    <w:p w14:paraId="51E668E2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0F528903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b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U. d. 7. </w:t>
      </w:r>
      <w:r>
        <w:rPr>
          <w:rFonts w:ascii="Times New Roman" w:eastAsia="Times New Roman" w:hAnsi="Times New Roman" w:cs="Times New Roman"/>
          <w:b/>
          <w:lang w:eastAsia="ar-SA"/>
          <w14:ligatures w14:val="none"/>
        </w:rPr>
        <w:t>QUINTILIANO</w:t>
      </w:r>
    </w:p>
    <w:p w14:paraId="6C5EE292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Dati biografici e contesto storico</w:t>
      </w:r>
    </w:p>
    <w:p w14:paraId="0F26FADF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L'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Institutio oratoria</w:t>
      </w:r>
    </w:p>
    <w:p w14:paraId="6572EBFD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04D444D8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Arial" w:eastAsia="Arial" w:hAnsi="Arial" w:cs="Arial"/>
          <w:color w:val="000000"/>
          <w:kern w:val="0"/>
          <w:sz w:val="16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Testi:</w:t>
      </w:r>
      <w:r>
        <w:rPr>
          <w:rFonts w:ascii="Arial" w:eastAsia="Arial" w:hAnsi="Arial" w:cs="Arial"/>
          <w:color w:val="000000"/>
          <w:kern w:val="0"/>
          <w:sz w:val="16"/>
          <w:szCs w:val="24"/>
          <w:lang w:eastAsia="ar-SA"/>
          <w14:ligatures w14:val="none"/>
        </w:rPr>
        <w:t xml:space="preserve"> </w:t>
      </w:r>
    </w:p>
    <w:p w14:paraId="5E61D694" w14:textId="77777777" w:rsidR="003C5EC4" w:rsidRDefault="003C5EC4" w:rsidP="003C5EC4">
      <w:pPr>
        <w:widowControl w:val="0"/>
        <w:numPr>
          <w:ilvl w:val="0"/>
          <w:numId w:val="2"/>
        </w:numPr>
        <w:tabs>
          <w:tab w:val="left" w:pos="477"/>
        </w:tabs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bookmarkStart w:id="5" w:name="_Hlk196213717"/>
      <w:r>
        <w:rPr>
          <w:rFonts w:ascii="Times New Roman" w:eastAsia="Times New Roman" w:hAnsi="Times New Roman" w:cs="Times New Roman"/>
          <w:lang w:eastAsia="ar-SA"/>
          <w14:ligatures w14:val="none"/>
        </w:rPr>
        <w:t>QUINTILIANO,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 xml:space="preserve"> Institutio oratoria</w:t>
      </w:r>
      <w:bookmarkEnd w:id="5"/>
      <w:r>
        <w:rPr>
          <w:rFonts w:ascii="Times New Roman" w:eastAsia="Times New Roman" w:hAnsi="Times New Roman" w:cs="Times New Roman"/>
          <w:lang w:eastAsia="ar-SA"/>
          <w14:ligatures w14:val="none"/>
        </w:rPr>
        <w:t>, 1, proemio 1-5 (I presupposti dell’opera) – in traduzione italiana</w:t>
      </w:r>
    </w:p>
    <w:p w14:paraId="6A71C9E0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-  QUINTILIANO,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 xml:space="preserve"> Institutio oratoria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1, 1, 1-3 (Tutti possono apprendere – in varia misura-)</w:t>
      </w:r>
    </w:p>
    <w:p w14:paraId="2A5A759C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-  QUINTILIANO, </w:t>
      </w:r>
      <w:r>
        <w:rPr>
          <w:rFonts w:ascii="Times New Roman" w:eastAsia="Times New Roman" w:hAnsi="Times New Roman" w:cs="Times New Roman"/>
          <w:i/>
          <w:lang w:eastAsia="ar-SA"/>
          <w14:ligatures w14:val="none"/>
        </w:rPr>
        <w:t>Institutio oratoria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1, 2, 18-25 (Vantaggi della scuola “pubblica”) – in traduzione italiana</w:t>
      </w:r>
    </w:p>
    <w:p w14:paraId="6B5EB657" w14:textId="77777777" w:rsidR="003C5EC4" w:rsidRDefault="003C5EC4" w:rsidP="003C5EC4">
      <w:pPr>
        <w:widowControl w:val="0"/>
        <w:numPr>
          <w:ilvl w:val="0"/>
          <w:numId w:val="2"/>
        </w:numPr>
        <w:tabs>
          <w:tab w:val="left" w:pos="477"/>
        </w:tabs>
        <w:suppressAutoHyphens/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QUINTILIANO,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 xml:space="preserve"> Institutio oratoria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12, 1, 1-3 (L’oratore: un dono all’umanità) – in traduzione italiana</w:t>
      </w:r>
    </w:p>
    <w:p w14:paraId="2B860B30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5067F359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U. d. 8. </w:t>
      </w: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TACITO</w:t>
      </w:r>
    </w:p>
    <w:p w14:paraId="3EEF7F0A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- Dati biografici e contesto storico</w:t>
      </w:r>
    </w:p>
    <w:p w14:paraId="04E97715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- </w:t>
      </w:r>
      <w:smartTag w:uri="urn:schemas-microsoft-com:office:smarttags" w:element="PersonName">
        <w:smartTagPr>
          <w:attr w:name="ProductID" w:val="La Germania"/>
        </w:smartTagPr>
        <w:r>
          <w:rPr>
            <w:rFonts w:ascii="Times New Roman" w:eastAsia="Times New Roman" w:hAnsi="Times New Roman" w:cs="Times New Roman"/>
            <w:lang w:eastAsia="ar-SA"/>
            <w14:ligatures w14:val="none"/>
          </w:rPr>
          <w:t xml:space="preserve">La </w:t>
        </w:r>
        <w:r>
          <w:rPr>
            <w:rFonts w:ascii="Times New Roman" w:eastAsia="Times New Roman" w:hAnsi="Times New Roman" w:cs="Times New Roman"/>
            <w:i/>
            <w:iCs/>
            <w:lang w:eastAsia="ar-SA"/>
            <w14:ligatures w14:val="none"/>
          </w:rPr>
          <w:t>Germania</w:t>
        </w:r>
      </w:smartTag>
    </w:p>
    <w:p w14:paraId="0B8A08F2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- Le opere storiche</w:t>
      </w:r>
    </w:p>
    <w:p w14:paraId="4985D4C0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- La concezione storiografica di Tacito</w:t>
      </w:r>
    </w:p>
    <w:p w14:paraId="2E3FA35E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5A6B09EA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</w:t>
      </w:r>
    </w:p>
    <w:p w14:paraId="57683BC2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 Testi:</w:t>
      </w:r>
    </w:p>
    <w:p w14:paraId="54C974F1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lastRenderedPageBreak/>
        <w:t xml:space="preserve">    - TACITO,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Annales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15, 38-40 (L’incendio di Roma) – in traduzione italiana</w:t>
      </w:r>
    </w:p>
    <w:p w14:paraId="4F9817DE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- TACITO,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Annales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15, 62-64 (Il suicidio di Seneca) – in traduzione italiana</w:t>
      </w:r>
    </w:p>
    <w:p w14:paraId="18D88315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- TACITO,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Annales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16, 18-19 (Il ritratto e il suicidio di Petronio)</w:t>
      </w:r>
    </w:p>
    <w:p w14:paraId="45297187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- TACITO,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Germania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, 2, 1-2; 4 (L'autoctonia dei Germani) </w:t>
      </w:r>
    </w:p>
    <w:p w14:paraId="61F52B06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- TACITO,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Germania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, 22-23 (I Germani agli occhi di uno smaliziato senatore romano: pregi e difetti) – in   </w:t>
      </w:r>
    </w:p>
    <w:p w14:paraId="15805D00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traduzione italiana</w:t>
      </w:r>
    </w:p>
    <w:p w14:paraId="787C77FA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- TACITO,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Historiae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5, 3-5 (Uno sguardo – perplesso – sugli Ebrei) – in traduzione italiana</w:t>
      </w:r>
    </w:p>
    <w:p w14:paraId="5A13ADC0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</w:t>
      </w:r>
    </w:p>
    <w:p w14:paraId="3FFD8960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U. d. 9. </w:t>
      </w: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>APULEIO</w:t>
      </w:r>
    </w:p>
    <w:p w14:paraId="7C8BED8E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- Dati biografici e contesto storico</w:t>
      </w:r>
    </w:p>
    <w:p w14:paraId="1F255DF1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- Le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Metamorfosi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e la favola di Amore e Psiche</w:t>
      </w:r>
    </w:p>
    <w:p w14:paraId="7791BC0A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2CE7D581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Testi: </w:t>
      </w:r>
    </w:p>
    <w:p w14:paraId="54F671BB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- APULEIO,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Metamorfosi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4, 28-31 (C’era una volta…la favola di Amore e Psiche) – in traduzione italiana</w:t>
      </w:r>
    </w:p>
    <w:p w14:paraId="0D75F1CC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- APULEIO, </w:t>
      </w:r>
      <w:r>
        <w:rPr>
          <w:rFonts w:ascii="Times New Roman" w:eastAsia="Times New Roman" w:hAnsi="Times New Roman" w:cs="Times New Roman"/>
          <w:i/>
          <w:iCs/>
          <w:lang w:eastAsia="ar-SA"/>
          <w14:ligatures w14:val="none"/>
        </w:rPr>
        <w:t>Metamorfosi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>, 6, 22-23 (Il lieto fine della favola di Amore e Psiche) – in traduzione italiana</w:t>
      </w:r>
    </w:p>
    <w:p w14:paraId="00C9D0F1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59615902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06A0890F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57B6AF88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 xml:space="preserve">    </w:t>
      </w:r>
    </w:p>
    <w:p w14:paraId="1678DF42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Roma, 15 maggio 2026</w:t>
      </w:r>
    </w:p>
    <w:p w14:paraId="36199B34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</w:p>
    <w:p w14:paraId="0F63E486" w14:textId="77777777" w:rsidR="003C5EC4" w:rsidRDefault="003C5EC4" w:rsidP="003C5EC4">
      <w:pPr>
        <w:widowControl w:val="0"/>
        <w:tabs>
          <w:tab w:val="left" w:pos="477"/>
        </w:tabs>
        <w:suppressAutoHyphens/>
        <w:spacing w:after="0" w:line="276" w:lineRule="auto"/>
        <w:ind w:left="270"/>
        <w:jc w:val="both"/>
        <w:rPr>
          <w:rFonts w:ascii="Times New Roman" w:eastAsia="Times New Roman" w:hAnsi="Times New Roman" w:cs="Times New Roman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lang w:eastAsia="ar-SA"/>
          <w14:ligatures w14:val="none"/>
        </w:rPr>
        <w:t>Gli studenti</w:t>
      </w:r>
      <w:r>
        <w:rPr>
          <w:rFonts w:ascii="Times New Roman" w:eastAsia="Times New Roman" w:hAnsi="Times New Roman" w:cs="Times New Roman"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lang w:eastAsia="ar-SA"/>
          <w14:ligatures w14:val="none"/>
        </w:rPr>
        <w:tab/>
        <w:t>La docente</w:t>
      </w:r>
    </w:p>
    <w:p w14:paraId="064298DD" w14:textId="77777777" w:rsidR="003C5EC4" w:rsidRDefault="003C5EC4" w:rsidP="003C5EC4">
      <w:pPr>
        <w:spacing w:before="100" w:after="0" w:line="276" w:lineRule="auto"/>
        <w:ind w:left="270"/>
        <w:jc w:val="center"/>
        <w:rPr>
          <w:rFonts w:ascii="Times New Roman" w:eastAsia="Times New Roman" w:hAnsi="Times New Roman" w:cs="Times New Roman"/>
          <w:bCs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ab/>
        <w:t xml:space="preserve">                  </w:t>
      </w: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lang w:eastAsia="ar-SA"/>
          <w14:ligatures w14:val="none"/>
        </w:rPr>
        <w:tab/>
      </w:r>
      <w:r>
        <w:rPr>
          <w:rFonts w:ascii="Times New Roman" w:eastAsia="Times New Roman" w:hAnsi="Times New Roman" w:cs="Times New Roman"/>
          <w:bCs/>
          <w:lang w:eastAsia="ar-SA"/>
          <w14:ligatures w14:val="none"/>
        </w:rPr>
        <w:t>Giovanna Verna</w:t>
      </w:r>
    </w:p>
    <w:p w14:paraId="43EF01E5" w14:textId="77777777" w:rsidR="003C5EC4" w:rsidRDefault="003C5EC4" w:rsidP="003C5EC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ar-SA"/>
          <w14:ligatures w14:val="none"/>
        </w:rPr>
      </w:pPr>
    </w:p>
    <w:p w14:paraId="43287D17" w14:textId="77777777" w:rsidR="003C5EC4" w:rsidRDefault="003C5EC4" w:rsidP="003C5EC4">
      <w:pPr>
        <w:widowControl w:val="0"/>
        <w:suppressAutoHyphens/>
        <w:spacing w:after="0" w:line="240" w:lineRule="auto"/>
        <w:ind w:left="270"/>
        <w:jc w:val="both"/>
        <w:rPr>
          <w:rFonts w:ascii="Times New Roman" w:eastAsia="Lucida Sans Unicode" w:hAnsi="Times New Roman" w:cs="Times New Roman"/>
          <w:lang w:eastAsia="ar-SA"/>
          <w14:ligatures w14:val="none"/>
        </w:rPr>
      </w:pPr>
    </w:p>
    <w:p w14:paraId="785BA203" w14:textId="77777777" w:rsidR="00BC4375" w:rsidRDefault="00BC4375"/>
    <w:sectPr w:rsidR="00BC43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26E3F"/>
    <w:multiLevelType w:val="hybridMultilevel"/>
    <w:tmpl w:val="E684D38C"/>
    <w:lvl w:ilvl="0" w:tplc="98B4DFB0">
      <w:numFmt w:val="bullet"/>
      <w:lvlText w:val="-"/>
      <w:lvlJc w:val="left"/>
      <w:pPr>
        <w:ind w:left="630" w:hanging="360"/>
      </w:pPr>
      <w:rPr>
        <w:rFonts w:ascii="Arial" w:eastAsia="Arial" w:hAnsi="Arial" w:cs="Arial" w:hint="default"/>
        <w:color w:val="000000"/>
        <w:sz w:val="16"/>
      </w:rPr>
    </w:lvl>
    <w:lvl w:ilvl="1" w:tplc="0410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673061F5"/>
    <w:multiLevelType w:val="hybridMultilevel"/>
    <w:tmpl w:val="900EE026"/>
    <w:lvl w:ilvl="0" w:tplc="553C6600">
      <w:start w:val="21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141126891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8939975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EC4"/>
    <w:rsid w:val="003C5EC4"/>
    <w:rsid w:val="004C6795"/>
    <w:rsid w:val="00907E7C"/>
    <w:rsid w:val="00AA6B9A"/>
    <w:rsid w:val="00BC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B90E3F4"/>
  <w15:chartTrackingRefBased/>
  <w15:docId w15:val="{24B95A5C-CD64-45FC-B01A-351D22A314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C5EC4"/>
    <w:pPr>
      <w:spacing w:line="254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3C5E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C5E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C5E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C5E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C5E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C5E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C5E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C5E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C5E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C5E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C5E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C5E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C5EC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C5EC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C5EC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C5EC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C5EC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C5EC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C5E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C5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C5E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C5E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C5E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C5EC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C5EC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C5EC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C5E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C5EC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C5EC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697</Words>
  <Characters>3975</Characters>
  <Application>Microsoft Office Word</Application>
  <DocSecurity>0</DocSecurity>
  <Lines>33</Lines>
  <Paragraphs>9</Paragraphs>
  <ScaleCrop>false</ScaleCrop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giovanna verna</dc:creator>
  <cp:keywords/>
  <dc:description/>
  <cp:lastModifiedBy>giovanna verna</cp:lastModifiedBy>
  <cp:revision>2</cp:revision>
  <dcterms:created xsi:type="dcterms:W3CDTF">2026-06-09T19:44:00Z</dcterms:created>
  <dcterms:modified xsi:type="dcterms:W3CDTF">2026-06-09T19:46:00Z</dcterms:modified>
</cp:coreProperties>
</file>