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C6C23" w14:textId="1C2111B2" w:rsidR="00B76DC8" w:rsidRPr="00BF1C8F" w:rsidRDefault="00792A27" w:rsidP="000F0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hAnsi="Times New Roman" w:cs="Times New Roman"/>
          <w:sz w:val="20"/>
          <w:szCs w:val="20"/>
          <w:lang w:val="it-IT"/>
        </w:rPr>
        <w:t>Liceo Scientifico Morgagni</w:t>
      </w:r>
    </w:p>
    <w:p w14:paraId="7E6B7806" w14:textId="052F88A6" w:rsidR="00792A27" w:rsidRPr="00BF1C8F" w:rsidRDefault="00CD5165" w:rsidP="000F0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Anno scolastico 2025</w:t>
      </w:r>
      <w:r w:rsidR="000F0A50" w:rsidRPr="00BF1C8F">
        <w:rPr>
          <w:rFonts w:ascii="Times New Roman" w:hAnsi="Times New Roman" w:cs="Times New Roman"/>
          <w:sz w:val="20"/>
          <w:szCs w:val="20"/>
          <w:lang w:val="it-IT"/>
        </w:rPr>
        <w:t>/</w:t>
      </w:r>
      <w:r>
        <w:rPr>
          <w:rFonts w:ascii="Times New Roman" w:hAnsi="Times New Roman" w:cs="Times New Roman"/>
          <w:sz w:val="20"/>
          <w:szCs w:val="20"/>
          <w:lang w:val="it-IT"/>
        </w:rPr>
        <w:t>26</w:t>
      </w:r>
    </w:p>
    <w:p w14:paraId="6988D5BF" w14:textId="11F48CDF" w:rsidR="00792A27" w:rsidRPr="00BF1C8F" w:rsidRDefault="00792A27" w:rsidP="000F0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hAnsi="Times New Roman" w:cs="Times New Roman"/>
          <w:sz w:val="20"/>
          <w:szCs w:val="20"/>
          <w:lang w:val="it-IT"/>
        </w:rPr>
        <w:t>Classe V sez. G</w:t>
      </w:r>
    </w:p>
    <w:p w14:paraId="6E951DD8" w14:textId="4E0C8E32" w:rsidR="00792A27" w:rsidRPr="00BF1C8F" w:rsidRDefault="000F0A50" w:rsidP="000F0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hAnsi="Times New Roman" w:cs="Times New Roman"/>
          <w:sz w:val="20"/>
          <w:szCs w:val="20"/>
          <w:lang w:val="it-IT"/>
        </w:rPr>
        <w:t>Programma di latino</w:t>
      </w:r>
    </w:p>
    <w:p w14:paraId="1FA8915C" w14:textId="7324CAA4" w:rsidR="0033237F" w:rsidRPr="00BF1C8F" w:rsidRDefault="000F0A50" w:rsidP="000942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hAnsi="Times New Roman" w:cs="Times New Roman"/>
          <w:sz w:val="20"/>
          <w:szCs w:val="20"/>
          <w:lang w:val="it-IT"/>
        </w:rPr>
        <w:t>Docente Laura Comin</w:t>
      </w:r>
    </w:p>
    <w:p w14:paraId="0874406F" w14:textId="77777777" w:rsidR="00094237" w:rsidRDefault="00094237" w:rsidP="00094237">
      <w:pPr>
        <w:spacing w:before="240"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14:paraId="05B8858C" w14:textId="0990885E" w:rsidR="000F0A50" w:rsidRPr="00BF1C8F" w:rsidRDefault="000F0A50" w:rsidP="00094237">
      <w:pPr>
        <w:spacing w:before="240"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it-IT"/>
        </w:rPr>
      </w:pPr>
      <w:r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>Libr</w:t>
      </w:r>
      <w:r w:rsidR="00094237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o </w:t>
      </w:r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di </w:t>
      </w:r>
      <w:proofErr w:type="spellStart"/>
      <w:proofErr w:type="gramStart"/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>testo:</w:t>
      </w:r>
      <w:r w:rsidR="007956DE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>,</w:t>
      </w:r>
      <w:proofErr w:type="gramEnd"/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>Corti</w:t>
      </w:r>
      <w:proofErr w:type="spellEnd"/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</w:t>
      </w:r>
      <w:proofErr w:type="spellStart"/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>Fucecchi,Testis</w:t>
      </w:r>
      <w:proofErr w:type="spellEnd"/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temporum</w:t>
      </w:r>
      <w:r w:rsidR="007956DE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</w:t>
      </w:r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>Testi, contesti, autori della letteratura latina, L’età imperiale</w:t>
      </w:r>
      <w:r w:rsidR="00D46B45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</w:t>
      </w:r>
      <w:r w:rsidR="00700D79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>Vol. 3</w:t>
      </w:r>
      <w:r w:rsidR="0033237F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Ed. </w:t>
      </w:r>
      <w:r w:rsidR="00CD5165">
        <w:rPr>
          <w:rFonts w:ascii="Times New Roman" w:hAnsi="Times New Roman" w:cs="Times New Roman"/>
          <w:i/>
          <w:iCs/>
          <w:sz w:val="20"/>
          <w:szCs w:val="20"/>
          <w:lang w:val="it-IT"/>
        </w:rPr>
        <w:t>Zanichelli</w:t>
      </w:r>
      <w:r w:rsidR="0033237F" w:rsidRPr="00BF1C8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</w:t>
      </w:r>
    </w:p>
    <w:p w14:paraId="08590FBB" w14:textId="1D84E069" w:rsidR="00094237" w:rsidRPr="00BF1C8F" w:rsidRDefault="00094237" w:rsidP="00094237">
      <w:pPr>
        <w:spacing w:before="120" w:after="12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bookmarkStart w:id="0" w:name="_GoBack"/>
      <w:bookmarkEnd w:id="0"/>
    </w:p>
    <w:p w14:paraId="123EB742" w14:textId="6ED8A5AF" w:rsidR="00793A5E" w:rsidRPr="00BF1C8F" w:rsidRDefault="00766BB5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Seneca: </w:t>
      </w:r>
      <w:r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vita</w:t>
      </w:r>
      <w:r w:rsidR="006F0F76"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,</w:t>
      </w:r>
      <w:r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opere</w:t>
      </w:r>
      <w:r w:rsidR="006F0F76"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,</w:t>
      </w:r>
      <w:r w:rsidR="00B00FB0"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pensiero</w:t>
      </w:r>
      <w:r w:rsidRPr="00BF1C8F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.</w:t>
      </w:r>
      <w:r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</w:p>
    <w:p w14:paraId="33AA0E03" w14:textId="08CC408A" w:rsidR="00793A5E" w:rsidRDefault="00F82D60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>Lettura e analisi dei seguenti testi</w:t>
      </w:r>
      <w:r w:rsidR="00655EA5"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>:</w:t>
      </w:r>
    </w:p>
    <w:p w14:paraId="566CAE7F" w14:textId="77777777" w:rsidR="00CD5165" w:rsidRDefault="00CD5165" w:rsidP="00CD5165">
      <w:pPr>
        <w:pStyle w:val="NormaleWeb"/>
        <w:spacing w:before="240" w:beforeAutospacing="0" w:after="240" w:afterAutospacing="0"/>
      </w:pPr>
      <w:r>
        <w:rPr>
          <w:b/>
          <w:bCs/>
          <w:color w:val="000000"/>
        </w:rPr>
        <w:t xml:space="preserve">Seneca: </w:t>
      </w:r>
      <w:r>
        <w:rPr>
          <w:color w:val="000000"/>
        </w:rPr>
        <w:t xml:space="preserve">vita e opere. Il rapporto con il </w:t>
      </w:r>
      <w:proofErr w:type="gramStart"/>
      <w:r>
        <w:rPr>
          <w:color w:val="000000"/>
        </w:rPr>
        <w:t>potere :</w:t>
      </w:r>
      <w:proofErr w:type="gram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Apokolokyntosis</w:t>
      </w:r>
      <w:proofErr w:type="spellEnd"/>
      <w:r>
        <w:rPr>
          <w:color w:val="000000"/>
        </w:rPr>
        <w:t>” la morte di Claudio (online in italiano) Il pensiero filosofico: “</w:t>
      </w:r>
      <w:proofErr w:type="spellStart"/>
      <w:r>
        <w:rPr>
          <w:color w:val="000000"/>
        </w:rPr>
        <w:t>Epistulae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morales</w:t>
      </w:r>
      <w:proofErr w:type="spellEnd"/>
      <w:r>
        <w:rPr>
          <w:color w:val="000000"/>
        </w:rPr>
        <w:t xml:space="preserve"> ad </w:t>
      </w:r>
      <w:proofErr w:type="spellStart"/>
      <w:r>
        <w:rPr>
          <w:color w:val="000000"/>
        </w:rPr>
        <w:t>Lucilium</w:t>
      </w:r>
      <w:proofErr w:type="spellEnd"/>
      <w:r>
        <w:rPr>
          <w:color w:val="000000"/>
        </w:rPr>
        <w:t xml:space="preserve">”: Saper vivere e saper morire (EP.XCIII, 2-5 in italiano con testo a fronte); </w:t>
      </w:r>
      <w:proofErr w:type="spellStart"/>
      <w:r>
        <w:rPr>
          <w:color w:val="000000"/>
        </w:rPr>
        <w:t>Vindica</w:t>
      </w:r>
      <w:proofErr w:type="spellEnd"/>
      <w:r>
        <w:rPr>
          <w:color w:val="000000"/>
        </w:rPr>
        <w:t xml:space="preserve"> te </w:t>
      </w:r>
      <w:proofErr w:type="spellStart"/>
      <w:r>
        <w:rPr>
          <w:color w:val="000000"/>
        </w:rPr>
        <w:t>tibi</w:t>
      </w:r>
      <w:proofErr w:type="spellEnd"/>
      <w:r>
        <w:rPr>
          <w:color w:val="000000"/>
        </w:rPr>
        <w:t xml:space="preserve"> (EP. 1,1</w:t>
      </w:r>
      <w:proofErr w:type="gramStart"/>
      <w:r>
        <w:rPr>
          <w:color w:val="000000"/>
        </w:rPr>
        <w:t>);  “</w:t>
      </w:r>
      <w:proofErr w:type="gramEnd"/>
      <w:r>
        <w:rPr>
          <w:color w:val="000000"/>
        </w:rPr>
        <w:t xml:space="preserve">De </w:t>
      </w:r>
      <w:proofErr w:type="spellStart"/>
      <w:r>
        <w:rPr>
          <w:color w:val="000000"/>
        </w:rPr>
        <w:t>brevitate</w:t>
      </w:r>
      <w:proofErr w:type="spellEnd"/>
      <w:r>
        <w:rPr>
          <w:color w:val="000000"/>
        </w:rPr>
        <w:t xml:space="preserve"> vitae” La vita non è breve .</w:t>
      </w:r>
    </w:p>
    <w:p w14:paraId="226F1C2D" w14:textId="77777777" w:rsidR="00CD5165" w:rsidRDefault="00CD5165" w:rsidP="00CD5165">
      <w:pPr>
        <w:pStyle w:val="NormaleWeb"/>
        <w:spacing w:before="240" w:beforeAutospacing="0" w:after="240" w:afterAutospacing="0"/>
      </w:pPr>
      <w:r>
        <w:rPr>
          <w:b/>
          <w:bCs/>
          <w:color w:val="000000"/>
        </w:rPr>
        <w:t>Petronio:</w:t>
      </w:r>
      <w:r>
        <w:rPr>
          <w:color w:val="000000"/>
        </w:rPr>
        <w:t xml:space="preserve"> Il “</w:t>
      </w:r>
      <w:proofErr w:type="spellStart"/>
      <w:r>
        <w:rPr>
          <w:color w:val="000000"/>
        </w:rPr>
        <w:t>Satyricon</w:t>
      </w:r>
      <w:proofErr w:type="spellEnd"/>
      <w:r>
        <w:rPr>
          <w:color w:val="000000"/>
        </w:rPr>
        <w:t xml:space="preserve">”: originalità dell’opera. Il mondo dei liberti: la cena di </w:t>
      </w:r>
      <w:proofErr w:type="spellStart"/>
      <w:r>
        <w:rPr>
          <w:color w:val="000000"/>
        </w:rPr>
        <w:t>Trimalchione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Sat</w:t>
      </w:r>
      <w:proofErr w:type="spellEnd"/>
      <w:r>
        <w:rPr>
          <w:color w:val="000000"/>
        </w:rPr>
        <w:t>. 32-33; 34, 6-10); la fabula milesia: “La matrona di Efeso”  </w:t>
      </w:r>
    </w:p>
    <w:p w14:paraId="1B989C41" w14:textId="77777777" w:rsidR="00CD5165" w:rsidRDefault="00CD5165" w:rsidP="00CD5165">
      <w:pPr>
        <w:pStyle w:val="NormaleWeb"/>
        <w:spacing w:before="240" w:beforeAutospacing="0" w:after="240" w:afterAutospacing="0"/>
      </w:pPr>
      <w:r>
        <w:rPr>
          <w:b/>
          <w:bCs/>
          <w:color w:val="000000"/>
        </w:rPr>
        <w:t>Tacito.</w:t>
      </w:r>
      <w:r>
        <w:rPr>
          <w:color w:val="000000"/>
        </w:rPr>
        <w:t xml:space="preserve"> La vita e le opere. Da “L’Agricola”: il discorso di </w:t>
      </w:r>
      <w:proofErr w:type="spellStart"/>
      <w:r>
        <w:rPr>
          <w:color w:val="000000"/>
        </w:rPr>
        <w:t>Calgàco</w:t>
      </w:r>
      <w:proofErr w:type="spellEnd"/>
      <w:r>
        <w:rPr>
          <w:color w:val="000000"/>
        </w:rPr>
        <w:t>; da “La Germania”: L’autoctonia dei Germani (</w:t>
      </w:r>
      <w:proofErr w:type="spellStart"/>
      <w:r>
        <w:rPr>
          <w:color w:val="000000"/>
        </w:rPr>
        <w:t>Germ</w:t>
      </w:r>
      <w:proofErr w:type="spellEnd"/>
      <w:r>
        <w:rPr>
          <w:color w:val="000000"/>
        </w:rPr>
        <w:t>. 2, 1; 4 in italiano con testo a fronte); Un popolo bellicoso (</w:t>
      </w:r>
      <w:proofErr w:type="spellStart"/>
      <w:r>
        <w:rPr>
          <w:color w:val="000000"/>
        </w:rPr>
        <w:t>Germ</w:t>
      </w:r>
      <w:proofErr w:type="spellEnd"/>
      <w:r>
        <w:rPr>
          <w:color w:val="000000"/>
        </w:rPr>
        <w:t>. 14 in italiano con testo a fronte), L’onestà dei costumi familiari (</w:t>
      </w:r>
      <w:proofErr w:type="spellStart"/>
      <w:r>
        <w:rPr>
          <w:color w:val="000000"/>
        </w:rPr>
        <w:t>Germ</w:t>
      </w:r>
      <w:proofErr w:type="spellEnd"/>
      <w:r>
        <w:rPr>
          <w:color w:val="000000"/>
        </w:rPr>
        <w:t>. 18, 19 in italiano con testo a fronte).</w:t>
      </w:r>
    </w:p>
    <w:p w14:paraId="48AF1C0A" w14:textId="77777777" w:rsidR="00CD5165" w:rsidRDefault="00CD5165" w:rsidP="00CD5165">
      <w:pPr>
        <w:pStyle w:val="NormaleWeb"/>
        <w:spacing w:before="240" w:beforeAutospacing="0" w:after="240" w:afterAutospacing="0"/>
      </w:pPr>
      <w:r>
        <w:rPr>
          <w:color w:val="000000"/>
        </w:rPr>
        <w:t xml:space="preserve">Proemio delle </w:t>
      </w:r>
      <w:proofErr w:type="spellStart"/>
      <w:r>
        <w:rPr>
          <w:color w:val="000000"/>
        </w:rPr>
        <w:t>Historiae</w:t>
      </w:r>
      <w:proofErr w:type="spellEnd"/>
      <w:r>
        <w:rPr>
          <w:color w:val="000000"/>
        </w:rPr>
        <w:t xml:space="preserve"> e degli Annales a confronto</w:t>
      </w:r>
    </w:p>
    <w:p w14:paraId="00D38ED8" w14:textId="77777777" w:rsidR="00CD5165" w:rsidRDefault="00CD5165" w:rsidP="00CD5165">
      <w:pPr>
        <w:pStyle w:val="NormaleWeb"/>
        <w:spacing w:before="240" w:beforeAutospacing="0" w:after="240" w:afterAutospacing="0"/>
      </w:pPr>
      <w:r>
        <w:rPr>
          <w:b/>
          <w:bCs/>
          <w:color w:val="000000"/>
        </w:rPr>
        <w:t xml:space="preserve">Il caso del codice </w:t>
      </w:r>
      <w:proofErr w:type="spellStart"/>
      <w:r>
        <w:rPr>
          <w:b/>
          <w:bCs/>
          <w:color w:val="000000"/>
        </w:rPr>
        <w:t>Aesinas</w:t>
      </w:r>
      <w:proofErr w:type="spellEnd"/>
      <w:r>
        <w:rPr>
          <w:b/>
          <w:bCs/>
          <w:color w:val="000000"/>
        </w:rPr>
        <w:t xml:space="preserve"> e il nazismo.</w:t>
      </w:r>
    </w:p>
    <w:p w14:paraId="4F1B9476" w14:textId="317CADAD" w:rsidR="00CD5165" w:rsidRDefault="00CD5165" w:rsidP="00CD5165">
      <w:pPr>
        <w:pStyle w:val="NormaleWeb"/>
        <w:spacing w:before="240" w:beforeAutospacing="0" w:after="240" w:afterAutospacing="0"/>
        <w:rPr>
          <w:color w:val="000000"/>
        </w:rPr>
      </w:pPr>
      <w:r>
        <w:rPr>
          <w:color w:val="000000"/>
        </w:rPr>
        <w:t>Percorso sul concett</w:t>
      </w:r>
      <w:r>
        <w:rPr>
          <w:color w:val="000000"/>
        </w:rPr>
        <w:t>o di tempo attraverso i secoli: dal “carpe diem di </w:t>
      </w:r>
      <w:r>
        <w:rPr>
          <w:color w:val="000000"/>
        </w:rPr>
        <w:t xml:space="preserve">Orazio e il “vive </w:t>
      </w:r>
      <w:proofErr w:type="spellStart"/>
      <w:r>
        <w:rPr>
          <w:color w:val="000000"/>
        </w:rPr>
        <w:t>protinus</w:t>
      </w:r>
      <w:proofErr w:type="spellEnd"/>
      <w:r>
        <w:rPr>
          <w:color w:val="000000"/>
        </w:rPr>
        <w:t>” di Seneca fin</w:t>
      </w:r>
      <w:r>
        <w:rPr>
          <w:color w:val="000000"/>
        </w:rPr>
        <w:t>o alle riflessioni più moderne </w:t>
      </w:r>
      <w:r>
        <w:rPr>
          <w:color w:val="000000"/>
        </w:rPr>
        <w:t xml:space="preserve">(Essere e tempo. Accelerazione della storia e della vita di Diego </w:t>
      </w:r>
      <w:proofErr w:type="spellStart"/>
      <w:r>
        <w:rPr>
          <w:color w:val="000000"/>
        </w:rPr>
        <w:t>Fusari</w:t>
      </w:r>
      <w:proofErr w:type="spellEnd"/>
      <w:r>
        <w:rPr>
          <w:color w:val="000000"/>
        </w:rPr>
        <w:t>)</w:t>
      </w:r>
    </w:p>
    <w:p w14:paraId="24C342A3" w14:textId="1ADF8C9A" w:rsidR="00CD5165" w:rsidRDefault="00CD5165" w:rsidP="00CD5165">
      <w:pPr>
        <w:pStyle w:val="NormaleWeb"/>
        <w:spacing w:before="240" w:beforeAutospacing="0" w:after="240" w:afterAutospacing="0"/>
      </w:pPr>
      <w:r>
        <w:rPr>
          <w:color w:val="000000"/>
        </w:rPr>
        <w:t> Percorso sulle metamorfosi dall’antichità all’età moderna:</w:t>
      </w:r>
      <w:r>
        <w:rPr>
          <w:color w:val="000000"/>
        </w:rPr>
        <w:t xml:space="preserve"> </w:t>
      </w:r>
      <w:r>
        <w:rPr>
          <w:color w:val="000000"/>
        </w:rPr>
        <w:t>dai miti del passato alla metamorfosi nel Novecento in Kafka (la trasformazione di Greg) e nel teatro dell’assurdo Ionesco (il Rinoceronte).</w:t>
      </w:r>
    </w:p>
    <w:p w14:paraId="3D8C688D" w14:textId="126DD70B" w:rsidR="00CD5165" w:rsidRDefault="00CD5165" w:rsidP="00CD5165">
      <w:pPr>
        <w:pStyle w:val="NormaleWeb"/>
        <w:spacing w:before="240" w:beforeAutospacing="0" w:after="240" w:afterAutospacing="0"/>
      </w:pPr>
      <w:r>
        <w:rPr>
          <w:b/>
          <w:bCs/>
          <w:color w:val="000000"/>
        </w:rPr>
        <w:t>Apuleio:</w:t>
      </w:r>
      <w:r>
        <w:rPr>
          <w:color w:val="000000"/>
        </w:rPr>
        <w:t xml:space="preserve"> Vita e opere.  “Le metamorfosi”: Il prologo in italiano con testo a fronte). La favola di Amore e Psiche (trama generale); “La </w:t>
      </w:r>
      <w:proofErr w:type="spellStart"/>
      <w:r>
        <w:rPr>
          <w:color w:val="000000"/>
        </w:rPr>
        <w:t>curiositas</w:t>
      </w:r>
      <w:proofErr w:type="spellEnd"/>
      <w:r>
        <w:rPr>
          <w:color w:val="000000"/>
        </w:rPr>
        <w:t>: Psich</w:t>
      </w:r>
      <w:r>
        <w:rPr>
          <w:color w:val="000000"/>
        </w:rPr>
        <w:t>e osserva Amore addormentato” (</w:t>
      </w:r>
      <w:r>
        <w:rPr>
          <w:color w:val="000000"/>
        </w:rPr>
        <w:t>in italiano con testo a fronte).</w:t>
      </w:r>
    </w:p>
    <w:p w14:paraId="171F8DB5" w14:textId="77777777" w:rsidR="00CD5165" w:rsidRDefault="00CD5165" w:rsidP="00CD5165">
      <w:pPr>
        <w:pStyle w:val="NormaleWeb"/>
        <w:spacing w:before="240" w:beforeAutospacing="0" w:after="240" w:afterAutospacing="0"/>
      </w:pPr>
    </w:p>
    <w:p w14:paraId="020A80DE" w14:textId="14955B29" w:rsidR="00094237" w:rsidRPr="00BF1C8F" w:rsidRDefault="00094237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>Roma,</w:t>
      </w:r>
      <w:r w:rsidR="00ED0C2D"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>04/06/26</w:t>
      </w:r>
      <w:r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</w:p>
    <w:p w14:paraId="601C85AB" w14:textId="6A2A282E" w:rsidR="00CD5165" w:rsidRDefault="00094237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F1C8F">
        <w:rPr>
          <w:rFonts w:ascii="Times New Roman" w:eastAsia="Times New Roman" w:hAnsi="Times New Roman" w:cs="Times New Roman"/>
          <w:sz w:val="20"/>
          <w:szCs w:val="20"/>
          <w:lang w:val="it-IT"/>
        </w:rPr>
        <w:t>La docente</w:t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="00CD5165">
        <w:rPr>
          <w:rFonts w:ascii="Times New Roman" w:eastAsia="Times New Roman" w:hAnsi="Times New Roman" w:cs="Times New Roman"/>
          <w:sz w:val="20"/>
          <w:szCs w:val="20"/>
          <w:lang w:val="it-IT"/>
        </w:rPr>
        <w:tab/>
        <w:t>Gli alunni</w:t>
      </w:r>
    </w:p>
    <w:p w14:paraId="29A902BC" w14:textId="63251E14" w:rsidR="00094237" w:rsidRPr="00BF1C8F" w:rsidRDefault="00CD5165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>Laura Comin</w:t>
      </w:r>
    </w:p>
    <w:p w14:paraId="39863B99" w14:textId="77777777" w:rsidR="00094237" w:rsidRPr="00BF1C8F" w:rsidRDefault="00094237" w:rsidP="00094237">
      <w:p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B9AF94F" w14:textId="05705D85" w:rsidR="00792A27" w:rsidRPr="00BF1C8F" w:rsidRDefault="00792A27" w:rsidP="00A2455D">
      <w:pPr>
        <w:spacing w:before="240" w:after="24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sectPr w:rsidR="00792A27" w:rsidRPr="00BF1C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B6"/>
    <w:rsid w:val="00094237"/>
    <w:rsid w:val="000F0A50"/>
    <w:rsid w:val="00197611"/>
    <w:rsid w:val="00283A52"/>
    <w:rsid w:val="002F6A3D"/>
    <w:rsid w:val="0033237F"/>
    <w:rsid w:val="00443431"/>
    <w:rsid w:val="00655EA5"/>
    <w:rsid w:val="006F0F76"/>
    <w:rsid w:val="00700D79"/>
    <w:rsid w:val="00766BB5"/>
    <w:rsid w:val="00792A27"/>
    <w:rsid w:val="00793A5E"/>
    <w:rsid w:val="007956DE"/>
    <w:rsid w:val="00872A90"/>
    <w:rsid w:val="00A2455D"/>
    <w:rsid w:val="00B00FB0"/>
    <w:rsid w:val="00B76DC8"/>
    <w:rsid w:val="00BF1C8F"/>
    <w:rsid w:val="00C43183"/>
    <w:rsid w:val="00C533BE"/>
    <w:rsid w:val="00CD5165"/>
    <w:rsid w:val="00D46B45"/>
    <w:rsid w:val="00ED0C2D"/>
    <w:rsid w:val="00ED30B6"/>
    <w:rsid w:val="00F34974"/>
    <w:rsid w:val="00F8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D1F9"/>
  <w15:chartTrackingRefBased/>
  <w15:docId w15:val="{C115FD23-E911-4F23-AAA7-C3BB41FD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l-G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3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3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3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3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3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3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3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3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3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30B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30B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30B6"/>
    <w:rPr>
      <w:rFonts w:eastAsiaTheme="majorEastAsia" w:cstheme="majorBidi"/>
      <w:color w:val="0F4761" w:themeColor="accent1" w:themeShade="BF"/>
      <w:sz w:val="28"/>
      <w:szCs w:val="28"/>
      <w:lang w:val="el-GR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30B6"/>
    <w:rPr>
      <w:rFonts w:eastAsiaTheme="majorEastAsia" w:cstheme="majorBidi"/>
      <w:i/>
      <w:iCs/>
      <w:color w:val="0F4761" w:themeColor="accent1" w:themeShade="BF"/>
      <w:lang w:val="el-GR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30B6"/>
    <w:rPr>
      <w:rFonts w:eastAsiaTheme="majorEastAsia" w:cstheme="majorBidi"/>
      <w:color w:val="0F4761" w:themeColor="accent1" w:themeShade="BF"/>
      <w:lang w:val="el-GR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30B6"/>
    <w:rPr>
      <w:rFonts w:eastAsiaTheme="majorEastAsia" w:cstheme="majorBidi"/>
      <w:i/>
      <w:iCs/>
      <w:color w:val="595959" w:themeColor="text1" w:themeTint="A6"/>
      <w:lang w:val="el-GR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30B6"/>
    <w:rPr>
      <w:rFonts w:eastAsiaTheme="majorEastAsia" w:cstheme="majorBidi"/>
      <w:color w:val="595959" w:themeColor="text1" w:themeTint="A6"/>
      <w:lang w:val="el-GR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30B6"/>
    <w:rPr>
      <w:rFonts w:eastAsiaTheme="majorEastAsia" w:cstheme="majorBidi"/>
      <w:i/>
      <w:iCs/>
      <w:color w:val="272727" w:themeColor="text1" w:themeTint="D8"/>
      <w:lang w:val="el-GR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30B6"/>
    <w:rPr>
      <w:rFonts w:eastAsiaTheme="majorEastAsia" w:cstheme="majorBidi"/>
      <w:color w:val="272727" w:themeColor="text1" w:themeTint="D8"/>
      <w:lang w:val="el-GR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3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30B6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3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30B6"/>
    <w:rPr>
      <w:rFonts w:eastAsiaTheme="majorEastAsia" w:cstheme="majorBidi"/>
      <w:color w:val="595959" w:themeColor="text1" w:themeTint="A6"/>
      <w:spacing w:val="15"/>
      <w:sz w:val="28"/>
      <w:szCs w:val="28"/>
      <w:lang w:val="el-GR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3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30B6"/>
    <w:rPr>
      <w:i/>
      <w:iCs/>
      <w:color w:val="404040" w:themeColor="text1" w:themeTint="BF"/>
      <w:lang w:val="el-GR"/>
    </w:rPr>
  </w:style>
  <w:style w:type="paragraph" w:styleId="Paragrafoelenco">
    <w:name w:val="List Paragraph"/>
    <w:basedOn w:val="Normale"/>
    <w:uiPriority w:val="34"/>
    <w:qFormat/>
    <w:rsid w:val="00ED30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30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3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30B6"/>
    <w:rPr>
      <w:i/>
      <w:iCs/>
      <w:color w:val="0F4761" w:themeColor="accent1" w:themeShade="BF"/>
      <w:lang w:val="el-GR"/>
    </w:rPr>
  </w:style>
  <w:style w:type="character" w:styleId="Riferimentointenso">
    <w:name w:val="Intense Reference"/>
    <w:basedOn w:val="Carpredefinitoparagrafo"/>
    <w:uiPriority w:val="32"/>
    <w:qFormat/>
    <w:rsid w:val="00ED30B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D5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165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Andronico</dc:creator>
  <cp:keywords/>
  <dc:description/>
  <cp:lastModifiedBy>Laura  Comin</cp:lastModifiedBy>
  <cp:revision>6</cp:revision>
  <cp:lastPrinted>2026-06-04T11:49:00Z</cp:lastPrinted>
  <dcterms:created xsi:type="dcterms:W3CDTF">2025-06-02T10:51:00Z</dcterms:created>
  <dcterms:modified xsi:type="dcterms:W3CDTF">2026-06-04T11:50:00Z</dcterms:modified>
</cp:coreProperties>
</file>