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639C2" w14:textId="2353BAE8" w:rsidR="00362137" w:rsidRDefault="00362137" w:rsidP="00362137">
      <w:pPr>
        <w:pStyle w:val="NormaleWeb"/>
        <w:spacing w:before="303" w:after="0"/>
        <w:rPr>
          <w:rFonts w:ascii="Book Antiqua" w:hAnsi="Book Antiqua"/>
          <w:sz w:val="22"/>
          <w:szCs w:val="22"/>
        </w:rPr>
      </w:pPr>
      <w:r w:rsidRPr="00362137">
        <w:rPr>
          <w:rFonts w:ascii="Book Antiqua" w:hAnsi="Book Antiqua"/>
          <w:sz w:val="22"/>
          <w:szCs w:val="22"/>
        </w:rPr>
        <w:t>Liceo Scientifico G.</w:t>
      </w:r>
      <w:proofErr w:type="gramStart"/>
      <w:r w:rsidRPr="00362137">
        <w:rPr>
          <w:rFonts w:ascii="Book Antiqua" w:hAnsi="Book Antiqua"/>
          <w:sz w:val="22"/>
          <w:szCs w:val="22"/>
        </w:rPr>
        <w:t>B.Morgagni</w:t>
      </w:r>
      <w:proofErr w:type="gramEnd"/>
    </w:p>
    <w:p w14:paraId="6E8794B0" w14:textId="77777777" w:rsidR="00362137" w:rsidRPr="00362137" w:rsidRDefault="00362137" w:rsidP="00362137">
      <w:pPr>
        <w:pStyle w:val="NormaleWeb"/>
        <w:spacing w:before="303" w:after="0"/>
        <w:rPr>
          <w:rFonts w:ascii="Book Antiqua" w:hAnsi="Book Antiqua"/>
          <w:sz w:val="22"/>
          <w:szCs w:val="22"/>
        </w:rPr>
      </w:pPr>
    </w:p>
    <w:p w14:paraId="32EAAF6C" w14:textId="5B44894D" w:rsidR="002A69C3" w:rsidRPr="00362137" w:rsidRDefault="00362137" w:rsidP="00362137">
      <w:pPr>
        <w:pStyle w:val="NormaleWeb"/>
        <w:spacing w:before="303" w:after="0"/>
        <w:jc w:val="center"/>
        <w:rPr>
          <w:rFonts w:ascii="Book Antiqua" w:eastAsia="Times New Roman" w:hAnsi="Book Antiqua"/>
          <w:b/>
          <w:bCs/>
          <w:kern w:val="0"/>
          <w:sz w:val="32"/>
          <w:szCs w:val="32"/>
          <w:lang w:eastAsia="it-IT"/>
          <w14:ligatures w14:val="none"/>
        </w:rPr>
      </w:pPr>
      <w:r w:rsidRPr="00362137">
        <w:rPr>
          <w:rFonts w:ascii="Book Antiqua" w:hAnsi="Book Antiqua"/>
          <w:b/>
          <w:bCs/>
          <w:sz w:val="32"/>
          <w:szCs w:val="32"/>
        </w:rPr>
        <w:t>Programma di Lingua e cultura</w:t>
      </w:r>
      <w:r w:rsidR="002A69C3" w:rsidRPr="00362137">
        <w:rPr>
          <w:rFonts w:ascii="Book Antiqua" w:eastAsia="Times New Roman" w:hAnsi="Book Antiqua"/>
          <w:b/>
          <w:bCs/>
          <w:color w:val="000000"/>
          <w:kern w:val="0"/>
          <w:sz w:val="32"/>
          <w:szCs w:val="32"/>
          <w:lang w:eastAsia="it-IT"/>
          <w14:ligatures w14:val="none"/>
        </w:rPr>
        <w:t xml:space="preserve"> </w:t>
      </w:r>
      <w:r w:rsidRPr="00362137">
        <w:rPr>
          <w:rFonts w:ascii="Book Antiqua" w:eastAsia="Times New Roman" w:hAnsi="Book Antiqua"/>
          <w:b/>
          <w:bCs/>
          <w:color w:val="000000"/>
          <w:kern w:val="0"/>
          <w:sz w:val="32"/>
          <w:szCs w:val="32"/>
          <w:lang w:eastAsia="it-IT"/>
          <w14:ligatures w14:val="none"/>
        </w:rPr>
        <w:t>latina</w:t>
      </w:r>
    </w:p>
    <w:p w14:paraId="324C1660" w14:textId="77777777" w:rsidR="002A69C3" w:rsidRPr="00362137" w:rsidRDefault="002A69C3" w:rsidP="002A69C3">
      <w:pPr>
        <w:spacing w:before="120" w:after="0" w:line="240" w:lineRule="auto"/>
        <w:jc w:val="both"/>
        <w:rPr>
          <w:rFonts w:ascii="Book Antiqua" w:eastAsia="Times New Roman" w:hAnsi="Book Antiqua" w:cs="Times New Roman"/>
          <w:kern w:val="0"/>
          <w:sz w:val="22"/>
          <w:szCs w:val="22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i/>
          <w:iCs/>
          <w:color w:val="000000"/>
          <w:kern w:val="0"/>
          <w:sz w:val="22"/>
          <w:szCs w:val="22"/>
          <w:lang w:eastAsia="it-IT"/>
          <w14:ligatures w14:val="none"/>
        </w:rPr>
        <w:t>    </w:t>
      </w:r>
    </w:p>
    <w:p w14:paraId="48F10D76" w14:textId="77777777" w:rsidR="00362137" w:rsidRDefault="00362137" w:rsidP="002A69C3">
      <w:pPr>
        <w:spacing w:before="200"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</w:p>
    <w:p w14:paraId="2C032836" w14:textId="262A89B1" w:rsidR="002A69C3" w:rsidRPr="00362137" w:rsidRDefault="002A69C3" w:rsidP="002A69C3">
      <w:pPr>
        <w:spacing w:before="200" w:after="0" w:line="240" w:lineRule="auto"/>
        <w:rPr>
          <w:rFonts w:ascii="Book Antiqua" w:eastAsia="Times New Roman" w:hAnsi="Book Antiqua" w:cs="Times New Roman"/>
          <w:kern w:val="0"/>
          <w:sz w:val="22"/>
          <w:szCs w:val="22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L’età </w:t>
      </w:r>
      <w:r w:rsidR="00362137">
        <w:rPr>
          <w:rFonts w:ascii="Book Antiqua" w:eastAsia="Times New Roman" w:hAnsi="Book Antiqua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  <w:t>C</w:t>
      </w:r>
      <w:r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  <w:t>laudia: </w:t>
      </w:r>
    </w:p>
    <w:p w14:paraId="102A5B9A" w14:textId="2B28D0A3" w:rsidR="002A69C3" w:rsidRPr="00362137" w:rsidRDefault="002A69C3" w:rsidP="00362137">
      <w:pPr>
        <w:spacing w:before="200" w:after="0" w:line="240" w:lineRule="auto"/>
        <w:textAlignment w:val="baseline"/>
        <w:rPr>
          <w:rFonts w:ascii="Book Antiqua" w:eastAsia="Times New Roman" w:hAnsi="Book Antiqua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Fedro: </w:t>
      </w:r>
      <w:r w:rsidRPr="00362137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it-IT"/>
          <w14:ligatures w14:val="none"/>
        </w:rPr>
        <w:t>la vita, il genere favolistico</w:t>
      </w:r>
      <w:r w:rsidRPr="00362137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it-IT"/>
          <w14:ligatures w14:val="none"/>
        </w:rPr>
        <w:br/>
      </w:r>
      <w:r w:rsidRPr="00362137">
        <w:rPr>
          <w:rFonts w:ascii="Book Antiqua" w:eastAsia="Times New Roman" w:hAnsi="Book Antiqua" w:cs="Times New Roman"/>
          <w:color w:val="000000"/>
          <w:kern w:val="0"/>
          <w:sz w:val="22"/>
          <w:szCs w:val="22"/>
          <w:u w:val="single"/>
          <w:lang w:eastAsia="it-IT"/>
          <w14:ligatures w14:val="none"/>
        </w:rPr>
        <w:t>Traduzione, analisi, commento:</w:t>
      </w:r>
      <w:r w:rsidRPr="00362137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362137">
        <w:rPr>
          <w:rFonts w:ascii="Book Antiqua" w:eastAsia="Times New Roman" w:hAnsi="Book Antiqua" w:cs="Times New Roman"/>
          <w:i/>
          <w:iCs/>
          <w:color w:val="000000"/>
          <w:kern w:val="0"/>
          <w:sz w:val="22"/>
          <w:szCs w:val="22"/>
          <w:lang w:eastAsia="it-IT"/>
          <w14:ligatures w14:val="none"/>
        </w:rPr>
        <w:t>Lupus et Agnus</w:t>
      </w:r>
      <w:r w:rsidRPr="00362137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(Fabulae)</w:t>
      </w:r>
    </w:p>
    <w:p w14:paraId="4408D2B6" w14:textId="77777777" w:rsidR="002A69C3" w:rsidRPr="00362137" w:rsidRDefault="002A69C3" w:rsidP="002A69C3">
      <w:pPr>
        <w:spacing w:after="0" w:line="240" w:lineRule="auto"/>
        <w:rPr>
          <w:rFonts w:ascii="Book Antiqua" w:eastAsia="Times New Roman" w:hAnsi="Book Antiqua" w:cs="Times New Roman"/>
          <w:kern w:val="0"/>
          <w:sz w:val="22"/>
          <w:szCs w:val="22"/>
          <w:lang w:eastAsia="it-IT"/>
          <w14:ligatures w14:val="none"/>
        </w:rPr>
      </w:pPr>
    </w:p>
    <w:p w14:paraId="2188754F" w14:textId="48A8EFD5" w:rsidR="002A69C3" w:rsidRPr="00362137" w:rsidRDefault="002A69C3" w:rsidP="002A69C3">
      <w:pPr>
        <w:spacing w:before="200" w:after="0" w:line="240" w:lineRule="auto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t xml:space="preserve">L'età </w:t>
      </w:r>
      <w:r w:rsidR="00362137"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t>G</w:t>
      </w:r>
      <w:r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t>iulio</w:t>
      </w:r>
      <w:r w:rsidR="00362137"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t xml:space="preserve"> C</w:t>
      </w:r>
      <w:r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t>laudia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: </w:t>
      </w:r>
    </w:p>
    <w:p w14:paraId="0B092A20" w14:textId="77777777" w:rsidR="002A69C3" w:rsidRPr="00362137" w:rsidRDefault="002A69C3" w:rsidP="002A69C3">
      <w:pPr>
        <w:spacing w:after="0" w:line="240" w:lineRule="auto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kern w:val="0"/>
          <w:lang w:eastAsia="it-IT"/>
          <w14:ligatures w14:val="none"/>
        </w:rPr>
        <w:br/>
      </w:r>
    </w:p>
    <w:p w14:paraId="79A1B99B" w14:textId="77777777" w:rsidR="002A69C3" w:rsidRPr="00362137" w:rsidRDefault="002A69C3" w:rsidP="00362137">
      <w:pPr>
        <w:spacing w:before="24" w:after="0" w:line="240" w:lineRule="auto"/>
        <w:textAlignment w:val="baseline"/>
        <w:rPr>
          <w:rFonts w:ascii="Book Antiqua" w:eastAsia="Times New Roman" w:hAnsi="Book Antiqua" w:cs="Arial"/>
          <w:color w:val="000000"/>
          <w:kern w:val="0"/>
          <w:sz w:val="23"/>
          <w:szCs w:val="23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t>Seneca il Vecchio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: retorica e declamazione (Controversiae e Suasoriae).</w:t>
      </w:r>
    </w:p>
    <w:p w14:paraId="4C5A610D" w14:textId="77777777" w:rsidR="002A69C3" w:rsidRPr="00362137" w:rsidRDefault="002A69C3" w:rsidP="00362137">
      <w:pPr>
        <w:spacing w:before="37" w:after="0" w:line="240" w:lineRule="auto"/>
        <w:jc w:val="both"/>
        <w:textAlignment w:val="baseline"/>
        <w:rPr>
          <w:rFonts w:ascii="Book Antiqua" w:eastAsia="Times New Roman" w:hAnsi="Book Antiqua" w:cs="Arial"/>
          <w:color w:val="000000"/>
          <w:kern w:val="0"/>
          <w:sz w:val="23"/>
          <w:szCs w:val="23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t>Seneca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: la vita; Dialogi, trattati, tragedie, Epistulae ad Lucilium; la satira menippea (Ludus de morte Claudii); lo stile.</w:t>
      </w:r>
    </w:p>
    <w:p w14:paraId="4249FF5F" w14:textId="77777777" w:rsidR="002A69C3" w:rsidRPr="00362137" w:rsidRDefault="002A69C3" w:rsidP="002A69C3">
      <w:pPr>
        <w:spacing w:after="0" w:line="240" w:lineRule="auto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u w:val="single"/>
          <w:lang w:eastAsia="it-IT"/>
          <w14:ligatures w14:val="none"/>
        </w:rPr>
        <w:t>Traduzione, analisi, commento: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 T 5. </w:t>
      </w:r>
      <w:r w:rsidRPr="00362137">
        <w:rPr>
          <w:rFonts w:ascii="Book Antiqua" w:eastAsia="Times New Roman" w:hAnsi="Book Antiqua" w:cs="Times New Roman"/>
          <w:i/>
          <w:iCs/>
          <w:color w:val="000000"/>
          <w:kern w:val="0"/>
          <w:sz w:val="23"/>
          <w:szCs w:val="23"/>
          <w:lang w:eastAsia="it-IT"/>
          <w14:ligatures w14:val="none"/>
        </w:rPr>
        <w:t xml:space="preserve">La vita non è breve 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(De brevitate vitae, 1.1-4); traduzioni a confronto di Viansina, Traina, Ramondetti del medesimo testo; T15 </w:t>
      </w:r>
      <w:r w:rsidRPr="00362137">
        <w:rPr>
          <w:rFonts w:ascii="Book Antiqua" w:eastAsia="Times New Roman" w:hAnsi="Book Antiqua" w:cs="Times New Roman"/>
          <w:i/>
          <w:iCs/>
          <w:color w:val="000000"/>
          <w:kern w:val="0"/>
          <w:sz w:val="23"/>
          <w:szCs w:val="23"/>
          <w:lang w:eastAsia="it-IT"/>
          <w14:ligatures w14:val="none"/>
        </w:rPr>
        <w:t xml:space="preserve">L'uso del tempo 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(Epistulae ad Lucilium 1, 1-5)</w:t>
      </w:r>
    </w:p>
    <w:p w14:paraId="2BD6BC93" w14:textId="77777777" w:rsidR="002A69C3" w:rsidRPr="00362137" w:rsidRDefault="002A69C3" w:rsidP="002A69C3">
      <w:pPr>
        <w:spacing w:after="0" w:line="240" w:lineRule="auto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u w:val="single"/>
          <w:lang w:eastAsia="it-IT"/>
          <w14:ligatures w14:val="none"/>
        </w:rPr>
        <w:t>Lettura in traduzione e commento: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 T6 </w:t>
      </w:r>
      <w:r w:rsidRPr="00362137">
        <w:rPr>
          <w:rFonts w:ascii="Book Antiqua" w:eastAsia="Times New Roman" w:hAnsi="Book Antiqua" w:cs="Times New Roman"/>
          <w:i/>
          <w:iCs/>
          <w:color w:val="000000"/>
          <w:kern w:val="0"/>
          <w:sz w:val="23"/>
          <w:szCs w:val="23"/>
          <w:lang w:eastAsia="it-IT"/>
          <w14:ligatures w14:val="none"/>
        </w:rPr>
        <w:t xml:space="preserve">Vita e tempus 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(De brevitate vitae, 2, 1-3); T10 </w:t>
      </w:r>
      <w:r w:rsidRPr="00362137">
        <w:rPr>
          <w:rFonts w:ascii="Book Antiqua" w:eastAsia="Times New Roman" w:hAnsi="Book Antiqua" w:cs="Times New Roman"/>
          <w:i/>
          <w:iCs/>
          <w:color w:val="000000"/>
          <w:kern w:val="0"/>
          <w:sz w:val="23"/>
          <w:szCs w:val="23"/>
          <w:lang w:eastAsia="it-IT"/>
          <w14:ligatures w14:val="none"/>
        </w:rPr>
        <w:t xml:space="preserve">Lo spreco del tempo 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(De brevitate vitae, 16, 1-5); T18 </w:t>
      </w:r>
      <w:r w:rsidRPr="00362137">
        <w:rPr>
          <w:rFonts w:ascii="Book Antiqua" w:eastAsia="Times New Roman" w:hAnsi="Book Antiqua" w:cs="Times New Roman"/>
          <w:i/>
          <w:iCs/>
          <w:color w:val="000000"/>
          <w:kern w:val="0"/>
          <w:sz w:val="23"/>
          <w:szCs w:val="23"/>
          <w:lang w:eastAsia="it-IT"/>
          <w14:ligatures w14:val="none"/>
        </w:rPr>
        <w:t xml:space="preserve">Gli schiavi 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(Epistulae ad Lucilium 1, 1-5); T 20</w:t>
      </w:r>
      <w:r w:rsidRPr="00362137">
        <w:rPr>
          <w:rFonts w:ascii="Book Antiqua" w:eastAsia="Times New Roman" w:hAnsi="Book Antiqua" w:cs="Times New Roman"/>
          <w:i/>
          <w:iCs/>
          <w:color w:val="000000"/>
          <w:kern w:val="0"/>
          <w:sz w:val="23"/>
          <w:szCs w:val="23"/>
          <w:lang w:eastAsia="it-IT"/>
          <w14:ligatures w14:val="none"/>
        </w:rPr>
        <w:t xml:space="preserve">11 progresso della scienza 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(Naturales questiones, VII, 25, 3-6); T21 </w:t>
      </w:r>
      <w:r w:rsidRPr="00362137">
        <w:rPr>
          <w:rFonts w:ascii="Book Antiqua" w:eastAsia="Times New Roman" w:hAnsi="Book Antiqua" w:cs="Times New Roman"/>
          <w:i/>
          <w:iCs/>
          <w:color w:val="000000"/>
          <w:kern w:val="0"/>
          <w:sz w:val="23"/>
          <w:szCs w:val="23"/>
          <w:lang w:eastAsia="it-IT"/>
          <w14:ligatures w14:val="none"/>
        </w:rPr>
        <w:t xml:space="preserve">L'ira di Medea 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(Medea vv. 380-415; 422-430)</w:t>
      </w:r>
    </w:p>
    <w:p w14:paraId="680D1DCE" w14:textId="77777777" w:rsidR="002A69C3" w:rsidRPr="00362137" w:rsidRDefault="002A69C3" w:rsidP="00362137">
      <w:pPr>
        <w:spacing w:before="10" w:after="0" w:line="240" w:lineRule="auto"/>
        <w:textAlignment w:val="baseline"/>
        <w:rPr>
          <w:rFonts w:ascii="Book Antiqua" w:eastAsia="Times New Roman" w:hAnsi="Book Antiqua" w:cs="Arial"/>
          <w:color w:val="000000"/>
          <w:kern w:val="0"/>
          <w:sz w:val="23"/>
          <w:szCs w:val="23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t>La satira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: la trasformazione del genere satirico.</w:t>
      </w:r>
    </w:p>
    <w:p w14:paraId="5A3D4FD6" w14:textId="77777777" w:rsidR="002A69C3" w:rsidRPr="00362137" w:rsidRDefault="002A69C3" w:rsidP="00362137">
      <w:pPr>
        <w:spacing w:before="10" w:after="0" w:line="240" w:lineRule="auto"/>
        <w:textAlignment w:val="baseline"/>
        <w:rPr>
          <w:rFonts w:ascii="Book Antiqua" w:eastAsia="Times New Roman" w:hAnsi="Book Antiqua" w:cs="Arial"/>
          <w:color w:val="000000"/>
          <w:kern w:val="0"/>
          <w:sz w:val="23"/>
          <w:szCs w:val="23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t>Persio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: la vita, Satire, lo stile</w:t>
      </w:r>
    </w:p>
    <w:p w14:paraId="3479040B" w14:textId="5290FEAA" w:rsidR="002A69C3" w:rsidRPr="00362137" w:rsidRDefault="002A69C3" w:rsidP="00362137">
      <w:pPr>
        <w:spacing w:after="0" w:line="240" w:lineRule="auto"/>
        <w:ind w:right="648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u w:val="single"/>
          <w:lang w:eastAsia="it-IT"/>
          <w14:ligatures w14:val="none"/>
        </w:rPr>
        <w:t>Traduzione, analisi, commento: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 (Satira II, vv. 68-75) (Satira V, vv. 42-</w:t>
      </w:r>
      <w:proofErr w:type="gramStart"/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47)</w:t>
      </w:r>
      <w:r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t>Giovenale</w:t>
      </w:r>
      <w:proofErr w:type="gramEnd"/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, la vita, Satire.</w:t>
      </w:r>
    </w:p>
    <w:p w14:paraId="219CE274" w14:textId="77777777" w:rsidR="002A69C3" w:rsidRPr="00362137" w:rsidRDefault="002A69C3" w:rsidP="002A69C3">
      <w:pPr>
        <w:spacing w:after="0" w:line="240" w:lineRule="auto"/>
        <w:ind w:right="648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u w:val="single"/>
          <w:lang w:eastAsia="it-IT"/>
          <w14:ligatures w14:val="none"/>
        </w:rPr>
        <w:t xml:space="preserve">Traduzione, analisi, </w:t>
      </w:r>
      <w:proofErr w:type="gramStart"/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u w:val="single"/>
          <w:lang w:eastAsia="it-IT"/>
          <w14:ligatures w14:val="none"/>
        </w:rPr>
        <w:t>commento: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  (</w:t>
      </w:r>
      <w:proofErr w:type="gramEnd"/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Satire, VI, vv. 120-124); (Satire, X, vv. 347,350)</w:t>
      </w:r>
    </w:p>
    <w:p w14:paraId="44EF0743" w14:textId="4E99E0AD" w:rsidR="002A69C3" w:rsidRPr="00362137" w:rsidRDefault="002A69C3" w:rsidP="00362137">
      <w:pPr>
        <w:spacing w:after="0" w:line="240" w:lineRule="auto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t>Lucano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: la vita; il Bellum civile: i temi, i personaggi e lo stile; il rapporto con l'epos di Virgilio.</w:t>
      </w:r>
    </w:p>
    <w:p w14:paraId="20F67FBE" w14:textId="77777777" w:rsidR="002A69C3" w:rsidRPr="00362137" w:rsidRDefault="002A69C3" w:rsidP="002A69C3">
      <w:pPr>
        <w:spacing w:after="0" w:line="240" w:lineRule="auto"/>
        <w:ind w:right="648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u w:val="single"/>
          <w:lang w:eastAsia="it-IT"/>
          <w14:ligatures w14:val="none"/>
        </w:rPr>
        <w:t>Traduzione, analisi, commento: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 T1 (</w:t>
      </w:r>
      <w:r w:rsidRPr="00362137">
        <w:rPr>
          <w:rFonts w:ascii="Book Antiqua" w:eastAsia="Times New Roman" w:hAnsi="Book Antiqua" w:cs="Arial"/>
          <w:color w:val="333333"/>
          <w:kern w:val="0"/>
          <w:sz w:val="20"/>
          <w:szCs w:val="20"/>
          <w:shd w:val="clear" w:color="auto" w:fill="FFFFFF"/>
          <w:lang w:eastAsia="it-IT"/>
          <w14:ligatures w14:val="none"/>
        </w:rPr>
        <w:t>Pharsalia, I, vv. 1-32)</w:t>
      </w:r>
    </w:p>
    <w:p w14:paraId="2B8F4CCE" w14:textId="77777777" w:rsidR="002A69C3" w:rsidRPr="00362137" w:rsidRDefault="002A69C3" w:rsidP="002A69C3">
      <w:pPr>
        <w:spacing w:after="0" w:line="240" w:lineRule="auto"/>
        <w:ind w:right="648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u w:val="single"/>
          <w:lang w:eastAsia="it-IT"/>
          <w14:ligatures w14:val="none"/>
        </w:rPr>
        <w:t>Lettura in traduzione e comento: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 T3-T4 (Pharsalia, VI, 776-820; 7, 185-213)</w:t>
      </w:r>
    </w:p>
    <w:p w14:paraId="25A49450" w14:textId="4CBE23C1" w:rsidR="002A69C3" w:rsidRPr="00362137" w:rsidRDefault="002A69C3" w:rsidP="00362137">
      <w:pPr>
        <w:spacing w:after="0" w:line="240" w:lineRule="auto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t>Petronio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: la vita; Satyricon: la trama, i luoghi e i personaggi; la mescolanza di generi, il realismo, la satira, la lingua.</w:t>
      </w:r>
    </w:p>
    <w:p w14:paraId="35DA81CD" w14:textId="77777777" w:rsidR="002A69C3" w:rsidRPr="00362137" w:rsidRDefault="002A69C3" w:rsidP="002A69C3">
      <w:pPr>
        <w:spacing w:after="0" w:line="240" w:lineRule="auto"/>
        <w:ind w:right="648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u w:val="single"/>
          <w:lang w:eastAsia="it-IT"/>
          <w14:ligatures w14:val="none"/>
        </w:rPr>
        <w:t>Traduzione, analisi, commento: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 </w:t>
      </w:r>
      <w:r w:rsidRPr="00362137">
        <w:rPr>
          <w:rFonts w:ascii="Book Antiqua" w:eastAsia="Times New Roman" w:hAnsi="Book Antiqua" w:cs="Times New Roman"/>
          <w:i/>
          <w:iCs/>
          <w:color w:val="000000"/>
          <w:kern w:val="0"/>
          <w:sz w:val="23"/>
          <w:szCs w:val="23"/>
          <w:lang w:eastAsia="it-IT"/>
          <w14:ligatures w14:val="none"/>
        </w:rPr>
        <w:t xml:space="preserve">Cena Trimalchionis 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(Satyricon, libro XV); 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br/>
      </w:r>
      <w:r w:rsidRPr="00362137">
        <w:rPr>
          <w:rFonts w:ascii="Book Antiqua" w:eastAsia="Times New Roman" w:hAnsi="Book Antiqua" w:cs="Times New Roman"/>
          <w:i/>
          <w:iCs/>
          <w:color w:val="000000"/>
          <w:kern w:val="0"/>
          <w:sz w:val="23"/>
          <w:szCs w:val="23"/>
          <w:lang w:eastAsia="it-IT"/>
          <w14:ligatures w14:val="none"/>
        </w:rPr>
        <w:t xml:space="preserve">La corruzione dell’eloquenza 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(Satyricon, 1-4)</w:t>
      </w:r>
    </w:p>
    <w:p w14:paraId="1AB26CEB" w14:textId="77777777" w:rsidR="002A69C3" w:rsidRPr="00362137" w:rsidRDefault="002A69C3" w:rsidP="002A69C3">
      <w:pPr>
        <w:spacing w:after="240" w:line="240" w:lineRule="auto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</w:p>
    <w:p w14:paraId="4A0925DF" w14:textId="3D0334C0" w:rsidR="002A69C3" w:rsidRPr="00362137" w:rsidRDefault="002A69C3" w:rsidP="002A69C3">
      <w:pPr>
        <w:spacing w:before="7" w:after="0" w:line="240" w:lineRule="auto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t>L'età</w:t>
      </w:r>
      <w:r w:rsidR="00362137"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t xml:space="preserve"> F</w:t>
      </w:r>
      <w:r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t>lavia</w:t>
      </w:r>
    </w:p>
    <w:p w14:paraId="21C15079" w14:textId="77777777" w:rsidR="00362137" w:rsidRPr="00362137" w:rsidRDefault="00362137" w:rsidP="00362137">
      <w:pPr>
        <w:spacing w:after="0" w:line="240" w:lineRule="auto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</w:p>
    <w:p w14:paraId="5805E1AC" w14:textId="79FE098D" w:rsidR="002A69C3" w:rsidRPr="00362137" w:rsidRDefault="002A69C3" w:rsidP="00362137">
      <w:pPr>
        <w:spacing w:after="0" w:line="240" w:lineRule="auto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t>Marziale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; la vita; gli Epigrammi: il genere letterario; varietà tematica e realismo</w:t>
      </w:r>
    </w:p>
    <w:p w14:paraId="74AF7333" w14:textId="77777777" w:rsidR="002A69C3" w:rsidRPr="00362137" w:rsidRDefault="002A69C3" w:rsidP="002A69C3">
      <w:pPr>
        <w:spacing w:after="0" w:line="240" w:lineRule="auto"/>
        <w:ind w:right="648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u w:val="single"/>
          <w:lang w:eastAsia="it-IT"/>
          <w14:ligatures w14:val="none"/>
        </w:rPr>
        <w:t>Traduzione, analisi, commento: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 T12 (Epigrammi, 5, 34)</w:t>
      </w:r>
    </w:p>
    <w:p w14:paraId="09E36511" w14:textId="77777777" w:rsidR="002A69C3" w:rsidRPr="00362137" w:rsidRDefault="002A69C3" w:rsidP="002A69C3">
      <w:pPr>
        <w:spacing w:after="0" w:line="240" w:lineRule="auto"/>
        <w:ind w:right="648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u w:val="single"/>
          <w:lang w:eastAsia="it-IT"/>
          <w14:ligatures w14:val="none"/>
        </w:rPr>
        <w:t>Lettura in traduzione e comento: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 T1 (Epigrammi, 10,4)</w:t>
      </w:r>
    </w:p>
    <w:p w14:paraId="30FD212C" w14:textId="3F1E9742" w:rsidR="002A69C3" w:rsidRPr="00362137" w:rsidRDefault="002A69C3" w:rsidP="00362137">
      <w:pPr>
        <w:spacing w:after="0" w:line="240" w:lineRule="auto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t>Plinio il Vecchio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: la vita, la Naturalis historia, lo stile. </w:t>
      </w:r>
    </w:p>
    <w:p w14:paraId="48EAFFAC" w14:textId="4D77F37F" w:rsidR="002A69C3" w:rsidRPr="00362137" w:rsidRDefault="002A69C3" w:rsidP="00362137">
      <w:pPr>
        <w:spacing w:after="0" w:line="240" w:lineRule="auto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lastRenderedPageBreak/>
        <w:t xml:space="preserve">Plinio il Giovane: 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vita, l'epistolario, Panegirico di Traiano, lo stile.</w:t>
      </w:r>
    </w:p>
    <w:p w14:paraId="378D33E4" w14:textId="677B4362" w:rsidR="00362137" w:rsidRPr="00362137" w:rsidRDefault="002A69C3" w:rsidP="00362137">
      <w:pPr>
        <w:spacing w:after="0" w:line="240" w:lineRule="auto"/>
        <w:jc w:val="both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u w:val="single"/>
          <w:lang w:eastAsia="it-IT"/>
          <w14:ligatures w14:val="none"/>
        </w:rPr>
        <w:t>Lettura in traduzione e commento:</w:t>
      </w:r>
      <w:r w:rsidRPr="00362137">
        <w:rPr>
          <w:rFonts w:ascii="Book Antiqua" w:eastAsia="Times New Roman" w:hAnsi="Book Antiqua" w:cs="Times New Roman"/>
          <w:i/>
          <w:iCs/>
          <w:color w:val="000000"/>
          <w:kern w:val="0"/>
          <w:sz w:val="23"/>
          <w:szCs w:val="23"/>
          <w:lang w:eastAsia="it-IT"/>
          <w14:ligatures w14:val="none"/>
        </w:rPr>
        <w:t xml:space="preserve"> L'eruzione del Vesuvio e la morte di Plinio il Vecchio 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(Epistulae 6, 16, 4-21; sul sito); T4 </w:t>
      </w:r>
      <w:r w:rsidRPr="00362137">
        <w:rPr>
          <w:rFonts w:ascii="Book Antiqua" w:eastAsia="Times New Roman" w:hAnsi="Book Antiqua" w:cs="Times New Roman"/>
          <w:i/>
          <w:iCs/>
          <w:color w:val="000000"/>
          <w:kern w:val="0"/>
          <w:sz w:val="23"/>
          <w:szCs w:val="23"/>
          <w:lang w:eastAsia="it-IT"/>
          <w14:ligatures w14:val="none"/>
        </w:rPr>
        <w:t xml:space="preserve">Plinio e Traiano sui cristiani 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(Epistulae X, 96)</w:t>
      </w:r>
    </w:p>
    <w:p w14:paraId="6FDB9D91" w14:textId="12CF58C5" w:rsidR="002A69C3" w:rsidRPr="00362137" w:rsidRDefault="002A69C3" w:rsidP="00362137">
      <w:pPr>
        <w:spacing w:after="0" w:line="240" w:lineRule="auto"/>
        <w:jc w:val="both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t xml:space="preserve">Quintiliano: 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la vita; l'Institutio oratoria, lo stile.</w:t>
      </w:r>
    </w:p>
    <w:p w14:paraId="5738A8D4" w14:textId="77777777" w:rsidR="002A69C3" w:rsidRPr="00362137" w:rsidRDefault="002A69C3" w:rsidP="002A69C3">
      <w:pPr>
        <w:spacing w:after="0" w:line="240" w:lineRule="auto"/>
        <w:ind w:right="2304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u w:val="single"/>
          <w:lang w:eastAsia="it-IT"/>
          <w14:ligatures w14:val="none"/>
        </w:rPr>
        <w:t>Traduzione, analisi, commento: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 T4 (Institutio oratoria, 2,9)</w:t>
      </w:r>
    </w:p>
    <w:p w14:paraId="33B1AF3F" w14:textId="77777777" w:rsidR="002A69C3" w:rsidRPr="00362137" w:rsidRDefault="002A69C3" w:rsidP="002A69C3">
      <w:pPr>
        <w:spacing w:after="0" w:line="240" w:lineRule="auto"/>
        <w:ind w:right="2304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u w:val="single"/>
          <w:lang w:eastAsia="it-IT"/>
          <w14:ligatures w14:val="none"/>
        </w:rPr>
        <w:t>Lettura in traduzione e commento: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 </w:t>
      </w:r>
    </w:p>
    <w:p w14:paraId="429CE2BF" w14:textId="77777777" w:rsidR="002A69C3" w:rsidRPr="00362137" w:rsidRDefault="002A69C3" w:rsidP="002A69C3">
      <w:pPr>
        <w:spacing w:after="0" w:line="240" w:lineRule="auto"/>
        <w:ind w:right="2304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Approfondimento: l'attenzione di Quintiliano per la psicologia</w:t>
      </w:r>
    </w:p>
    <w:p w14:paraId="5EE4AC96" w14:textId="7414BDB3" w:rsidR="002A69C3" w:rsidRPr="00362137" w:rsidRDefault="002A69C3" w:rsidP="00362137">
      <w:pPr>
        <w:spacing w:after="0" w:line="240" w:lineRule="auto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t xml:space="preserve">Tacito: 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>la vita; Dialogus de oratoribus, Agricola, la Germania, Historiae, Annales, lo stile. </w:t>
      </w:r>
    </w:p>
    <w:p w14:paraId="5FF38745" w14:textId="77777777" w:rsidR="002A69C3" w:rsidRPr="00362137" w:rsidRDefault="002A69C3" w:rsidP="002A69C3">
      <w:pPr>
        <w:spacing w:after="0" w:line="240" w:lineRule="auto"/>
        <w:rPr>
          <w:rFonts w:ascii="Book Antiqua" w:eastAsia="Times New Roman" w:hAnsi="Book Antiqua" w:cs="Times New Roman"/>
          <w:kern w:val="0"/>
          <w:lang w:eastAsia="it-IT"/>
          <w14:ligatures w14:val="none"/>
        </w:rPr>
      </w:pP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u w:val="single"/>
          <w:lang w:eastAsia="it-IT"/>
          <w14:ligatures w14:val="none"/>
        </w:rPr>
        <w:t>Traduzione, analisi, commento:</w:t>
      </w:r>
      <w:r w:rsidRPr="00362137">
        <w:rPr>
          <w:rFonts w:ascii="Book Antiqua" w:eastAsia="Times New Roman" w:hAnsi="Book Antiqua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 Annales XVI, 18-19; Annales IV, 1</w:t>
      </w:r>
    </w:p>
    <w:p w14:paraId="4C87291D" w14:textId="72FF9CFE" w:rsidR="00362137" w:rsidRPr="00362137" w:rsidRDefault="00362137">
      <w:pPr>
        <w:rPr>
          <w:rFonts w:ascii="Book Antiqua" w:hAnsi="Book Antiqua"/>
          <w:sz w:val="32"/>
          <w:szCs w:val="32"/>
        </w:rPr>
      </w:pPr>
    </w:p>
    <w:p w14:paraId="4D5CF50E" w14:textId="7F9546B8" w:rsidR="00362137" w:rsidRPr="00362137" w:rsidRDefault="00362137">
      <w:pPr>
        <w:rPr>
          <w:rFonts w:ascii="Book Antiqua" w:hAnsi="Book Antiqua"/>
          <w:sz w:val="32"/>
          <w:szCs w:val="32"/>
        </w:rPr>
      </w:pPr>
    </w:p>
    <w:sectPr w:rsidR="00362137" w:rsidRPr="003621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B54"/>
    <w:multiLevelType w:val="multilevel"/>
    <w:tmpl w:val="5016C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7607F"/>
    <w:multiLevelType w:val="multilevel"/>
    <w:tmpl w:val="8A9E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87266"/>
    <w:multiLevelType w:val="multilevel"/>
    <w:tmpl w:val="1F7EAE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DD5418"/>
    <w:multiLevelType w:val="multilevel"/>
    <w:tmpl w:val="A43C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70395"/>
    <w:multiLevelType w:val="multilevel"/>
    <w:tmpl w:val="5048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C2E40"/>
    <w:multiLevelType w:val="multilevel"/>
    <w:tmpl w:val="F056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80E26"/>
    <w:multiLevelType w:val="multilevel"/>
    <w:tmpl w:val="E1D4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8332A"/>
    <w:multiLevelType w:val="multilevel"/>
    <w:tmpl w:val="3EAE00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775D4"/>
    <w:multiLevelType w:val="multilevel"/>
    <w:tmpl w:val="4D12F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961511"/>
    <w:multiLevelType w:val="multilevel"/>
    <w:tmpl w:val="B85C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65524B"/>
    <w:multiLevelType w:val="multilevel"/>
    <w:tmpl w:val="A03A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864D16"/>
    <w:multiLevelType w:val="multilevel"/>
    <w:tmpl w:val="20909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E4367"/>
    <w:multiLevelType w:val="multilevel"/>
    <w:tmpl w:val="F62A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75235">
    <w:abstractNumId w:val="6"/>
  </w:num>
  <w:num w:numId="2" w16cid:durableId="1350062307">
    <w:abstractNumId w:val="3"/>
  </w:num>
  <w:num w:numId="3" w16cid:durableId="1017578686">
    <w:abstractNumId w:val="12"/>
  </w:num>
  <w:num w:numId="4" w16cid:durableId="1431121512">
    <w:abstractNumId w:val="4"/>
  </w:num>
  <w:num w:numId="5" w16cid:durableId="1658680524">
    <w:abstractNumId w:val="1"/>
  </w:num>
  <w:num w:numId="6" w16cid:durableId="1543902560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524976907">
    <w:abstractNumId w:val="0"/>
  </w:num>
  <w:num w:numId="8" w16cid:durableId="182088526">
    <w:abstractNumId w:val="11"/>
    <w:lvlOverride w:ilvl="0">
      <w:lvl w:ilvl="0">
        <w:numFmt w:val="decimal"/>
        <w:lvlText w:val="%1."/>
        <w:lvlJc w:val="left"/>
      </w:lvl>
    </w:lvlOverride>
  </w:num>
  <w:num w:numId="9" w16cid:durableId="1752660254">
    <w:abstractNumId w:val="7"/>
    <w:lvlOverride w:ilvl="0">
      <w:lvl w:ilvl="0">
        <w:numFmt w:val="decimal"/>
        <w:lvlText w:val="%1."/>
        <w:lvlJc w:val="left"/>
      </w:lvl>
    </w:lvlOverride>
  </w:num>
  <w:num w:numId="10" w16cid:durableId="1594360907">
    <w:abstractNumId w:val="8"/>
    <w:lvlOverride w:ilvl="0">
      <w:lvl w:ilvl="0">
        <w:numFmt w:val="decimal"/>
        <w:lvlText w:val="%1."/>
        <w:lvlJc w:val="left"/>
      </w:lvl>
    </w:lvlOverride>
  </w:num>
  <w:num w:numId="11" w16cid:durableId="1609194894">
    <w:abstractNumId w:val="9"/>
  </w:num>
  <w:num w:numId="12" w16cid:durableId="555580874">
    <w:abstractNumId w:val="10"/>
  </w:num>
  <w:num w:numId="13" w16cid:durableId="833498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675"/>
    <w:rsid w:val="0009773C"/>
    <w:rsid w:val="002A69C3"/>
    <w:rsid w:val="00362137"/>
    <w:rsid w:val="003F6130"/>
    <w:rsid w:val="006D1675"/>
    <w:rsid w:val="008C5F96"/>
    <w:rsid w:val="00B92A60"/>
    <w:rsid w:val="00C3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192E"/>
  <w15:docId w15:val="{78AF582F-4BDE-46F2-A3BF-478CF9F3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D1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1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1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1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1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1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1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1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1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1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1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1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16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16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16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16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16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16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1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1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1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1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1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16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16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16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1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16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1675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2A69C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pavanello</dc:creator>
  <cp:keywords/>
  <dc:description/>
  <cp:lastModifiedBy>Maria Chiara Milone</cp:lastModifiedBy>
  <cp:revision>4</cp:revision>
  <cp:lastPrinted>2024-05-28T15:28:00Z</cp:lastPrinted>
  <dcterms:created xsi:type="dcterms:W3CDTF">2024-06-11T09:39:00Z</dcterms:created>
  <dcterms:modified xsi:type="dcterms:W3CDTF">2024-06-24T15:50:00Z</dcterms:modified>
</cp:coreProperties>
</file>