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8E142" w14:textId="77777777" w:rsidR="00002506" w:rsidRPr="00002506" w:rsidRDefault="00002506" w:rsidP="0000250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Times New Roman"/>
          <w:b/>
          <w:kern w:val="0"/>
          <w:lang w:eastAsia="it-IT"/>
          <w14:ligatures w14:val="none"/>
        </w:rPr>
      </w:pPr>
      <w:r w:rsidRPr="00002506">
        <w:rPr>
          <w:rFonts w:ascii="Arial" w:eastAsia="Times New Roman" w:hAnsi="Arial" w:cs="Times New Roman"/>
          <w:b/>
          <w:kern w:val="0"/>
          <w:lang w:eastAsia="it-IT"/>
          <w14:ligatures w14:val="none"/>
        </w:rPr>
        <w:t xml:space="preserve">                                                    LICEO SCIENTIFICO STATALE </w:t>
      </w:r>
    </w:p>
    <w:p w14:paraId="09C66C82" w14:textId="77777777" w:rsidR="00002506" w:rsidRPr="00002506" w:rsidRDefault="00002506" w:rsidP="00002506">
      <w:pPr>
        <w:keepNext/>
        <w:spacing w:after="0" w:line="240" w:lineRule="auto"/>
        <w:ind w:right="-1"/>
        <w:jc w:val="both"/>
        <w:outlineLvl w:val="0"/>
        <w:rPr>
          <w:rFonts w:ascii="Arial" w:eastAsia="Times New Roman" w:hAnsi="Arial" w:cs="Times New Roman"/>
          <w:b/>
          <w:kern w:val="0"/>
          <w:lang w:eastAsia="it-IT"/>
          <w14:ligatures w14:val="none"/>
        </w:rPr>
      </w:pPr>
      <w:r w:rsidRPr="00002506">
        <w:rPr>
          <w:rFonts w:ascii="Arial" w:eastAsia="Times New Roman" w:hAnsi="Arial" w:cs="Times New Roman"/>
          <w:b/>
          <w:kern w:val="0"/>
          <w:lang w:eastAsia="it-IT"/>
          <w14:ligatures w14:val="none"/>
        </w:rPr>
        <w:t xml:space="preserve">                                                                  " MORGAGNI "</w:t>
      </w:r>
    </w:p>
    <w:p w14:paraId="1C3D6E4D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7BBD46DA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</w:t>
      </w: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>PROGRAMMA DI STORIA/ EDUCAZIONE CIVICA</w:t>
      </w:r>
    </w:p>
    <w:p w14:paraId="275412F5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Classe IV sez. A</w:t>
      </w:r>
    </w:p>
    <w:p w14:paraId="5F67FAEC" w14:textId="1A4F37F0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3</w:t>
      </w: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4</w:t>
      </w:r>
    </w:p>
    <w:p w14:paraId="3312193C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585EE30B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Libro di testo:</w:t>
      </w:r>
    </w:p>
    <w:p w14:paraId="4B390B71" w14:textId="77777777" w:rsidR="00002506" w:rsidRPr="00002506" w:rsidRDefault="00002506" w:rsidP="0000250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Barbero-Frugoni-</w:t>
      </w:r>
      <w:proofErr w:type="spellStart"/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Sclarandis</w:t>
      </w:r>
      <w:proofErr w:type="spellEnd"/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00250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La storia,</w:t>
      </w: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vol.2, Zanichelli</w:t>
      </w: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highlight w:val="yellow"/>
          <w:lang w:eastAsia="it-IT"/>
          <w14:ligatures w14:val="none"/>
        </w:rPr>
        <w:t xml:space="preserve"> </w:t>
      </w:r>
    </w:p>
    <w:p w14:paraId="6678BDD9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411818D4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Illuminismo e riforme:</w:t>
      </w:r>
    </w:p>
    <w:p w14:paraId="547D658A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L’Illuminismo. Cultura e politica nel Settecento francese. La diffusione dell’Illuminismo. Il dispotismo illuminato</w:t>
      </w:r>
    </w:p>
    <w:p w14:paraId="69AD47E1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La nascita degli Stati Uniti:</w:t>
      </w:r>
    </w:p>
    <w:p w14:paraId="37AB8065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significato di una rivoluzione. Le tredici colonie. Il contrasto con la madrepatria. La guerra e l’intervento europeo. La costituzione degli Stati Uniti</w:t>
      </w:r>
    </w:p>
    <w:p w14:paraId="49696D9F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La rivoluzione francese:</w:t>
      </w:r>
    </w:p>
    <w:p w14:paraId="6C9F38D0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Crisi e mobilitazione politica. 1789: il rovesciamento dell’”ancien </w:t>
      </w:r>
      <w:proofErr w:type="spellStart"/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régime</w:t>
      </w:r>
      <w:proofErr w:type="spellEnd"/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”. La rivoluzione borghese: 1790-1791. La rivoluzione popolare, </w:t>
      </w:r>
      <w:smartTag w:uri="urn:schemas-microsoft-com:office:smarttags" w:element="PersonName">
        <w:smartTagPr>
          <w:attr w:name="ProductID" w:val="la Repubblica"/>
        </w:smartTagPr>
        <w:r w:rsidRPr="00002506">
          <w:rPr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la Repubblica</w:t>
        </w:r>
      </w:smartTag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la guerra rivoluzionaria: 1791-1793. La dittatura giacobina e il Terrore: 1793-1794. Continuità rivoluzionaria e tentativi di stabilizzazione: 1794-1797. La rivoluzione francese e l’Europa. Bonaparte e la campagna d’Italia: 1796-1797. Le Repubbliche “giacobine” in Italia. La spedizione in Egitto e il colpo di Stato: 1798-1799 </w:t>
      </w:r>
      <w:bookmarkStart w:id="0" w:name="_Hlk115704832"/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(7 ore)   </w:t>
      </w:r>
      <w:bookmarkEnd w:id="0"/>
    </w:p>
    <w:p w14:paraId="37B0956D" w14:textId="77777777" w:rsidR="00002506" w:rsidRDefault="00002506" w:rsidP="00002506">
      <w:pPr>
        <w:spacing w:after="0" w:line="240" w:lineRule="auto"/>
        <w:jc w:val="both"/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Napoleone e l’Europa:</w:t>
      </w:r>
      <w:r w:rsidRPr="00002506">
        <w:t xml:space="preserve"> </w:t>
      </w:r>
    </w:p>
    <w:p w14:paraId="33536B6A" w14:textId="501B74F5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it-IT"/>
          <w14:ligatures w14:val="none"/>
        </w:rPr>
        <w:t xml:space="preserve">ttps://www.raiplay.it/video/2016/07/Il-tempo-e-la-Storia---Napoleone-il-culto-con-il-prof-Emilio-Gentile-del-13072016-1f20620a-f4fe-47c6-8cd1-e39f3d842a9a.html </w:t>
      </w:r>
    </w:p>
    <w:p w14:paraId="6E8C070A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La Restaurazione:</w:t>
      </w:r>
    </w:p>
    <w:p w14:paraId="0CF6F050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congresso di Vienna e la Santa Alleanza. Gli ordinamenti politici. L’ordine sociale. Rivoluzioni e società segrete. 1848: una rivoluzione europea.</w:t>
      </w:r>
    </w:p>
    <w:p w14:paraId="786DF344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Il Risorgimento italiano:</w:t>
      </w:r>
    </w:p>
    <w:p w14:paraId="2D1A7F7A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Risorgimento e storia d’Italia.  Mazzini e la Giovane Italia. L’evoluzione degli Stati italiani. Le nuove correnti politiche. Moderatismo, neoguelfismo, federalismo. Il biennio delle riforme (1846-1847). La rivoluzione in Italia e la prima guerra di indipendenza. Lotte democratiche e restaurazione conservatrice  </w:t>
      </w:r>
    </w:p>
    <w:p w14:paraId="6C9923E4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L’unificazione nazionale:</w:t>
      </w:r>
    </w:p>
    <w:p w14:paraId="4A02C0FD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L’esperienza liberale in Piemonte e l’opera di Cavour. Il fallimento dell’alternativa repubblicana. La diplomazia di Cavour e la seconda guerra di indipendenza. Garibaldi e la spedizione dei Mille. L’intervento piemontese e i plebisciti. Le ragioni dell’unità  </w:t>
      </w:r>
    </w:p>
    <w:p w14:paraId="66B277C2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I problemi dell’unificazione:</w:t>
      </w:r>
    </w:p>
    <w:p w14:paraId="67A9431D" w14:textId="0FA2AC1E" w:rsid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L’Italia nel 1861. Il completamento dell’unità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La questione meridionale. La questione romana. La questione veneta.</w:t>
      </w:r>
    </w:p>
    <w:p w14:paraId="62E2E251" w14:textId="3D0B0E3D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Intervento sulla Memoria di due studentesse </w:t>
      </w:r>
    </w:p>
    <w:p w14:paraId="1376E834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3B6D44D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27FB7DC4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025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Rappresentanti di classe                                                 Professoressa</w:t>
      </w:r>
    </w:p>
    <w:p w14:paraId="7614A257" w14:textId="77777777" w:rsidR="00002506" w:rsidRPr="00002506" w:rsidRDefault="00002506" w:rsidP="0000250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DFE8A9F" w14:textId="77777777" w:rsidR="000A2200" w:rsidRDefault="000A2200"/>
    <w:sectPr w:rsidR="000A2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506"/>
    <w:rsid w:val="00002506"/>
    <w:rsid w:val="000A2200"/>
    <w:rsid w:val="003D0A74"/>
    <w:rsid w:val="00D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5CC5D8"/>
  <w15:chartTrackingRefBased/>
  <w15:docId w15:val="{18C3C933-4DAD-457F-B7A6-1C52A982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piersanti</dc:creator>
  <cp:keywords/>
  <dc:description/>
  <cp:lastModifiedBy>isabella piersanti</cp:lastModifiedBy>
  <cp:revision>1</cp:revision>
  <cp:lastPrinted>2024-06-02T11:09:00Z</cp:lastPrinted>
  <dcterms:created xsi:type="dcterms:W3CDTF">2024-06-02T11:03:00Z</dcterms:created>
  <dcterms:modified xsi:type="dcterms:W3CDTF">2024-06-02T11:11:00Z</dcterms:modified>
</cp:coreProperties>
</file>