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BEB" w:rsidRDefault="00E86BEB" w:rsidP="00E86BEB">
      <w:pPr>
        <w:pStyle w:val="Titolo1"/>
        <w:jc w:val="both"/>
        <w:rPr>
          <w:rFonts w:ascii="Arial" w:hAnsi="Arial"/>
          <w:sz w:val="28"/>
          <w:szCs w:val="28"/>
        </w:rPr>
      </w:pPr>
      <w:r>
        <w:rPr>
          <w:rFonts w:ascii="Arial" w:hAnsi="Arial"/>
          <w:sz w:val="28"/>
          <w:szCs w:val="28"/>
        </w:rPr>
        <w:t xml:space="preserve">                                  LICEO SCIENTIFICO STATALE </w:t>
      </w:r>
    </w:p>
    <w:p w:rsidR="00E86BEB" w:rsidRDefault="00E86BEB" w:rsidP="00E86BEB">
      <w:pPr>
        <w:pStyle w:val="Titolo1"/>
        <w:jc w:val="both"/>
        <w:rPr>
          <w:rFonts w:ascii="Arial" w:hAnsi="Arial"/>
          <w:sz w:val="28"/>
          <w:szCs w:val="28"/>
        </w:rPr>
      </w:pPr>
      <w:r>
        <w:rPr>
          <w:rFonts w:ascii="Arial" w:hAnsi="Arial"/>
          <w:sz w:val="28"/>
          <w:szCs w:val="28"/>
        </w:rPr>
        <w:t xml:space="preserve">                                               " MORGAGNI "</w:t>
      </w:r>
    </w:p>
    <w:p w:rsidR="00E86BEB" w:rsidRDefault="00E86BEB" w:rsidP="00E86BEB">
      <w:pPr>
        <w:jc w:val="both"/>
        <w:rPr>
          <w:sz w:val="28"/>
          <w:szCs w:val="28"/>
        </w:rPr>
      </w:pPr>
    </w:p>
    <w:p w:rsidR="00E86BEB" w:rsidRPr="0019007C" w:rsidRDefault="0019007C" w:rsidP="00E86BEB">
      <w:pPr>
        <w:jc w:val="both"/>
        <w:rPr>
          <w:sz w:val="28"/>
          <w:szCs w:val="28"/>
        </w:rPr>
      </w:pPr>
      <w:r w:rsidRPr="0019007C">
        <w:rPr>
          <w:sz w:val="28"/>
          <w:szCs w:val="28"/>
        </w:rPr>
        <w:t xml:space="preserve">                               </w:t>
      </w:r>
      <w:r>
        <w:rPr>
          <w:sz w:val="28"/>
          <w:szCs w:val="28"/>
        </w:rPr>
        <w:t xml:space="preserve">         </w:t>
      </w:r>
      <w:r w:rsidR="00E86BEB" w:rsidRPr="0019007C">
        <w:rPr>
          <w:sz w:val="28"/>
          <w:szCs w:val="28"/>
        </w:rPr>
        <w:t xml:space="preserve">PROGRAMMA DI FILOSOFIA </w:t>
      </w:r>
    </w:p>
    <w:p w:rsidR="00E86BEB" w:rsidRDefault="0019007C" w:rsidP="00E86BEB">
      <w:pPr>
        <w:jc w:val="both"/>
        <w:rPr>
          <w:sz w:val="28"/>
          <w:szCs w:val="28"/>
        </w:rPr>
      </w:pPr>
      <w:r>
        <w:rPr>
          <w:sz w:val="28"/>
          <w:szCs w:val="28"/>
        </w:rPr>
        <w:t xml:space="preserve">                                                  </w:t>
      </w:r>
      <w:proofErr w:type="spellStart"/>
      <w:r w:rsidR="00E86BEB">
        <w:rPr>
          <w:sz w:val="28"/>
          <w:szCs w:val="28"/>
        </w:rPr>
        <w:t>a.s.</w:t>
      </w:r>
      <w:proofErr w:type="spellEnd"/>
      <w:r w:rsidR="00E86BEB">
        <w:rPr>
          <w:sz w:val="28"/>
          <w:szCs w:val="28"/>
        </w:rPr>
        <w:t xml:space="preserve"> 20</w:t>
      </w:r>
      <w:r>
        <w:rPr>
          <w:sz w:val="28"/>
          <w:szCs w:val="28"/>
        </w:rPr>
        <w:t>22</w:t>
      </w:r>
      <w:r w:rsidR="00E86BEB">
        <w:rPr>
          <w:sz w:val="28"/>
          <w:szCs w:val="28"/>
        </w:rPr>
        <w:t>-20</w:t>
      </w:r>
      <w:r>
        <w:rPr>
          <w:sz w:val="28"/>
          <w:szCs w:val="28"/>
        </w:rPr>
        <w:t>23</w:t>
      </w:r>
    </w:p>
    <w:p w:rsidR="00E86BEB" w:rsidRDefault="00E86BEB" w:rsidP="00E86BEB">
      <w:pPr>
        <w:jc w:val="both"/>
        <w:rPr>
          <w:sz w:val="28"/>
          <w:szCs w:val="28"/>
        </w:rPr>
      </w:pPr>
      <w:r>
        <w:rPr>
          <w:sz w:val="28"/>
          <w:szCs w:val="28"/>
        </w:rPr>
        <w:t xml:space="preserve">                                    </w:t>
      </w:r>
      <w:r w:rsidR="002405BA">
        <w:rPr>
          <w:sz w:val="28"/>
          <w:szCs w:val="28"/>
        </w:rPr>
        <w:t xml:space="preserve">               </w:t>
      </w:r>
      <w:r w:rsidR="00D05981">
        <w:rPr>
          <w:sz w:val="28"/>
          <w:szCs w:val="28"/>
        </w:rPr>
        <w:t>c</w:t>
      </w:r>
      <w:r w:rsidR="002405BA">
        <w:rPr>
          <w:sz w:val="28"/>
          <w:szCs w:val="28"/>
        </w:rPr>
        <w:t>lasse V sez. A</w:t>
      </w:r>
    </w:p>
    <w:p w:rsidR="002405BA" w:rsidRPr="009E0CEF" w:rsidRDefault="002405BA" w:rsidP="00E86BEB">
      <w:pPr>
        <w:jc w:val="both"/>
        <w:rPr>
          <w:sz w:val="28"/>
          <w:szCs w:val="28"/>
          <w:highlight w:val="yellow"/>
        </w:rPr>
      </w:pPr>
    </w:p>
    <w:p w:rsidR="00E86BEB" w:rsidRDefault="00E86BEB" w:rsidP="00E86BEB">
      <w:pPr>
        <w:ind w:left="720"/>
        <w:jc w:val="both"/>
        <w:rPr>
          <w:sz w:val="28"/>
          <w:szCs w:val="28"/>
        </w:rPr>
      </w:pPr>
    </w:p>
    <w:p w:rsidR="0019007C" w:rsidRDefault="0019007C" w:rsidP="0019007C">
      <w:pPr>
        <w:pStyle w:val="NormaleWeb"/>
        <w:spacing w:before="0" w:beforeAutospacing="0" w:after="0" w:afterAutospacing="0"/>
      </w:pPr>
      <w:r>
        <w:rPr>
          <w:color w:val="000000"/>
          <w:u w:val="single"/>
        </w:rPr>
        <w:t>Kant</w:t>
      </w:r>
      <w:r>
        <w:rPr>
          <w:color w:val="000000"/>
        </w:rPr>
        <w:t xml:space="preserve">. Vita e opere. Il criticismo come “filosofia del limite” e l’orizzonte del pensiero kantiano. Il problema generale della “Critica della ragion pura”. I “giudizi sintetici a priori”. La rivoluzione copernicana. I tre gradi della conoscenza. La “Critica della ragion pratica”.  Realtà e assolutezza della legge morale. La “categoricità” dell’imperativo morale. La “formalità” della legge e il dovere. L'autonomia della legge e la rivoluzione copernicana morale, in Abbagnano-Fornero, </w:t>
      </w:r>
      <w:r>
        <w:rPr>
          <w:i/>
          <w:iCs/>
          <w:color w:val="000000"/>
        </w:rPr>
        <w:t>La ricerca del pensiero</w:t>
      </w:r>
      <w:r>
        <w:rPr>
          <w:color w:val="000000"/>
        </w:rPr>
        <w:t>, vol.2 b, pp. 156-181; pp.228-248.</w:t>
      </w:r>
    </w:p>
    <w:p w:rsidR="0019007C" w:rsidRDefault="0019007C" w:rsidP="0019007C">
      <w:pPr>
        <w:pStyle w:val="NormaleWeb"/>
        <w:spacing w:before="240" w:beforeAutospacing="0" w:after="240" w:afterAutospacing="0"/>
        <w:jc w:val="both"/>
      </w:pPr>
      <w:r>
        <w:rPr>
          <w:color w:val="000000"/>
          <w:u w:val="single"/>
        </w:rPr>
        <w:t>Dal kantismo all’idealismo</w:t>
      </w:r>
      <w:r>
        <w:rPr>
          <w:color w:val="000000"/>
        </w:rPr>
        <w:t xml:space="preserve">. La discussione post-kantiana sul criticismo, in Abbagnano-Fornero, </w:t>
      </w:r>
      <w:r>
        <w:rPr>
          <w:i/>
          <w:iCs/>
          <w:color w:val="000000"/>
        </w:rPr>
        <w:t>La ricerca del pensiero</w:t>
      </w:r>
      <w:r>
        <w:rPr>
          <w:color w:val="000000"/>
        </w:rPr>
        <w:t>, vol.2 b, pp. 376-381.</w:t>
      </w:r>
    </w:p>
    <w:p w:rsidR="0019007C" w:rsidRDefault="0019007C" w:rsidP="0019007C">
      <w:pPr>
        <w:pStyle w:val="NormaleWeb"/>
        <w:spacing w:before="240" w:beforeAutospacing="0" w:after="240" w:afterAutospacing="0"/>
        <w:jc w:val="both"/>
      </w:pPr>
      <w:r>
        <w:rPr>
          <w:color w:val="000000"/>
          <w:u w:val="single"/>
        </w:rPr>
        <w:t> Hegel</w:t>
      </w:r>
      <w:r>
        <w:rPr>
          <w:color w:val="000000"/>
        </w:rPr>
        <w:t xml:space="preserve">. Vita e opere. I capisaldi del sistema. Finito e infinito. Ragione e realtà. La funzione della filosofia.  Idea, Natura e Spirito. Le partizioni della filosofia. La Dialettica.  La “Fenomenologia dello spirito”.  La filosofia dello Spirito.  Lo spirito oggettivo. L’eticità. La famiglia. La società civile. Lo Stato. La filosofia della storia. Lo spirito assoluto, in Abbagnano-Fornero, </w:t>
      </w:r>
      <w:r>
        <w:rPr>
          <w:i/>
          <w:iCs/>
          <w:color w:val="000000"/>
        </w:rPr>
        <w:t>La ricerca del pensiero</w:t>
      </w:r>
      <w:r>
        <w:rPr>
          <w:color w:val="000000"/>
        </w:rPr>
        <w:t>, vol.2 b, pp. 458- 462; pp.466-493; pp. 509-527.</w:t>
      </w:r>
    </w:p>
    <w:p w:rsidR="0019007C" w:rsidRDefault="0019007C" w:rsidP="0019007C">
      <w:pPr>
        <w:pStyle w:val="NormaleWeb"/>
        <w:spacing w:before="240" w:beforeAutospacing="0" w:after="240" w:afterAutospacing="0"/>
        <w:jc w:val="both"/>
      </w:pPr>
      <w:r>
        <w:rPr>
          <w:color w:val="000000"/>
          <w:u w:val="single"/>
        </w:rPr>
        <w:t>Destra e sinistra hegeliana</w:t>
      </w:r>
      <w:r>
        <w:rPr>
          <w:color w:val="000000"/>
        </w:rPr>
        <w:t xml:space="preserve">: caratteri generali, in Abbagnano-Fornero, </w:t>
      </w:r>
      <w:r>
        <w:rPr>
          <w:i/>
          <w:iCs/>
          <w:color w:val="000000"/>
        </w:rPr>
        <w:t>La ricerca del pensiero</w:t>
      </w:r>
      <w:r>
        <w:rPr>
          <w:color w:val="000000"/>
        </w:rPr>
        <w:t>, vol.3 a, pp. 73-74.</w:t>
      </w:r>
    </w:p>
    <w:p w:rsidR="0019007C" w:rsidRDefault="0019007C" w:rsidP="0019007C">
      <w:pPr>
        <w:pStyle w:val="NormaleWeb"/>
        <w:spacing w:before="240" w:beforeAutospacing="0" w:after="240" w:afterAutospacing="0"/>
        <w:jc w:val="both"/>
      </w:pPr>
      <w:r>
        <w:rPr>
          <w:color w:val="000000"/>
          <w:u w:val="single"/>
        </w:rPr>
        <w:t>Feuerbach</w:t>
      </w:r>
      <w:r>
        <w:rPr>
          <w:color w:val="000000"/>
        </w:rPr>
        <w:t xml:space="preserve">. Vita e opere. La critica alla religione. La critica ad Hegel, in Abbagnano-Fornero, </w:t>
      </w:r>
      <w:r>
        <w:rPr>
          <w:i/>
          <w:iCs/>
          <w:color w:val="000000"/>
        </w:rPr>
        <w:t>La ricerca del pensiero</w:t>
      </w:r>
      <w:r>
        <w:rPr>
          <w:color w:val="000000"/>
        </w:rPr>
        <w:t>, vol.3 a, pp.76-81.</w:t>
      </w:r>
    </w:p>
    <w:p w:rsidR="0019007C" w:rsidRDefault="0019007C" w:rsidP="0019007C">
      <w:pPr>
        <w:pStyle w:val="NormaleWeb"/>
        <w:spacing w:before="240" w:beforeAutospacing="0" w:after="240" w:afterAutospacing="0"/>
        <w:jc w:val="both"/>
      </w:pPr>
      <w:r>
        <w:rPr>
          <w:color w:val="000000"/>
          <w:u w:val="single"/>
        </w:rPr>
        <w:t>Marx.</w:t>
      </w:r>
      <w:r>
        <w:rPr>
          <w:color w:val="000000"/>
        </w:rPr>
        <w:t xml:space="preserve"> Vita e opere. Caratteristiche del marxismo. La critica della civiltà moderna e del liberalismo: emancipazione “politica” e “umana”. La critica dell’economia borghese e la problematica dell’”alienazione”. La concezione materialistica della storia e la dialettica della storia, in Abbagnano-Fornero, </w:t>
      </w:r>
      <w:r>
        <w:rPr>
          <w:i/>
          <w:iCs/>
          <w:color w:val="000000"/>
        </w:rPr>
        <w:t>La ricerca del pensiero</w:t>
      </w:r>
      <w:r>
        <w:rPr>
          <w:color w:val="000000"/>
        </w:rPr>
        <w:t>, vol.3 a, pp.91-121.</w:t>
      </w:r>
    </w:p>
    <w:p w:rsidR="0019007C" w:rsidRDefault="0019007C" w:rsidP="0019007C">
      <w:pPr>
        <w:pStyle w:val="NormaleWeb"/>
        <w:spacing w:before="240" w:beforeAutospacing="0" w:after="240" w:afterAutospacing="0"/>
        <w:jc w:val="both"/>
      </w:pPr>
      <w:r>
        <w:rPr>
          <w:color w:val="000000"/>
          <w:u w:val="single"/>
        </w:rPr>
        <w:t>Schopenhauer</w:t>
      </w:r>
      <w:r>
        <w:rPr>
          <w:color w:val="000000"/>
        </w:rPr>
        <w:t xml:space="preserve">. Vita e opere. Il mondo della rappresentazione come “velo di Maya”. La scoperta della via d’accesso alla cosa in sé. Caratteri e manifestazioni della “Volontà di vivere”. Il pessimismo. Le vie di liberazione dal dolore, in Abbagnano-Fornero, </w:t>
      </w:r>
      <w:r>
        <w:rPr>
          <w:i/>
          <w:iCs/>
          <w:color w:val="000000"/>
        </w:rPr>
        <w:t>La ricerca del pensiero</w:t>
      </w:r>
      <w:r>
        <w:rPr>
          <w:color w:val="000000"/>
        </w:rPr>
        <w:t>, vol.3 a, pp. 5-27.</w:t>
      </w:r>
    </w:p>
    <w:p w:rsidR="0019007C" w:rsidRDefault="0019007C" w:rsidP="0019007C">
      <w:pPr>
        <w:pStyle w:val="NormaleWeb"/>
        <w:spacing w:before="240" w:beforeAutospacing="0" w:after="240" w:afterAutospacing="0"/>
        <w:jc w:val="both"/>
      </w:pPr>
      <w:r>
        <w:rPr>
          <w:color w:val="000000"/>
          <w:u w:val="single"/>
        </w:rPr>
        <w:t>Kierkegaard</w:t>
      </w:r>
      <w:r>
        <w:rPr>
          <w:color w:val="000000"/>
        </w:rPr>
        <w:t xml:space="preserve">. Vita e opere. L’esistenza come possibilità e fede. Il rifiuto dell’hegelismo. Gli stadi dell’esistenza. Vita estetica e vita etica. La vita religiosa. L’angoscia, in Abbagnano-Fornero, </w:t>
      </w:r>
      <w:r>
        <w:rPr>
          <w:i/>
          <w:iCs/>
          <w:color w:val="000000"/>
        </w:rPr>
        <w:t>La ricerca del pensiero</w:t>
      </w:r>
      <w:r>
        <w:rPr>
          <w:color w:val="000000"/>
        </w:rPr>
        <w:t>, vol.3 a, pp. 39-53.</w:t>
      </w:r>
    </w:p>
    <w:p w:rsidR="0019007C" w:rsidRDefault="0019007C" w:rsidP="0019007C">
      <w:pPr>
        <w:pStyle w:val="NormaleWeb"/>
        <w:spacing w:before="240" w:beforeAutospacing="0" w:after="240" w:afterAutospacing="0"/>
        <w:jc w:val="both"/>
      </w:pPr>
      <w:r>
        <w:rPr>
          <w:color w:val="000000"/>
          <w:u w:val="single"/>
        </w:rPr>
        <w:t>Nietzsche</w:t>
      </w:r>
      <w:r>
        <w:rPr>
          <w:color w:val="000000"/>
        </w:rPr>
        <w:t xml:space="preserve">. Vita e opere. Filosofia e malattia. Fasi e periodi del filosofare </w:t>
      </w:r>
      <w:proofErr w:type="spellStart"/>
      <w:r>
        <w:rPr>
          <w:color w:val="000000"/>
        </w:rPr>
        <w:t>nietzscheano</w:t>
      </w:r>
      <w:proofErr w:type="spellEnd"/>
      <w:r>
        <w:rPr>
          <w:color w:val="000000"/>
        </w:rPr>
        <w:t xml:space="preserve">. Tragedia e filosofia.  Il periodo di “Zarathustra”. I capisaldi del pensiero di Nietzsche, in Abbagnano-Fornero, </w:t>
      </w:r>
      <w:r>
        <w:rPr>
          <w:i/>
          <w:iCs/>
          <w:color w:val="000000"/>
        </w:rPr>
        <w:t>La ricerca del pensiero</w:t>
      </w:r>
      <w:r>
        <w:rPr>
          <w:color w:val="000000"/>
        </w:rPr>
        <w:t>, vol.3 a, pp. 383-405; pp. 410-422.</w:t>
      </w:r>
    </w:p>
    <w:p w:rsidR="0019007C" w:rsidRDefault="0019007C" w:rsidP="0019007C">
      <w:pPr>
        <w:pStyle w:val="NormaleWeb"/>
        <w:spacing w:before="240" w:beforeAutospacing="0" w:after="240" w:afterAutospacing="0"/>
        <w:jc w:val="both"/>
        <w:rPr>
          <w:color w:val="000000"/>
        </w:rPr>
      </w:pPr>
      <w:r>
        <w:rPr>
          <w:color w:val="000000"/>
          <w:u w:val="single"/>
        </w:rPr>
        <w:t>Freud</w:t>
      </w:r>
      <w:r>
        <w:rPr>
          <w:color w:val="000000"/>
        </w:rPr>
        <w:t xml:space="preserve">: la nascita della psicoanalisi. Vita e opere. Inconscio, rimozione, censura e interpretazione dei sogni. Il concetto di “libido”. La sessualità infantile. Il complesso di Edipo. Lo sviluppo delle </w:t>
      </w:r>
      <w:r>
        <w:rPr>
          <w:color w:val="000000"/>
        </w:rPr>
        <w:lastRenderedPageBreak/>
        <w:t xml:space="preserve">tecniche terapeutiche. La teoria del “transfert”. La struttura dell’apparato psichico: Es, Ego, Super-Ego, in Abbagnano-Fornero, </w:t>
      </w:r>
      <w:r>
        <w:rPr>
          <w:i/>
          <w:iCs/>
          <w:color w:val="000000"/>
        </w:rPr>
        <w:t>La ricerca del pensiero</w:t>
      </w:r>
      <w:r>
        <w:rPr>
          <w:color w:val="000000"/>
        </w:rPr>
        <w:t>, vol.3 a, pp.464-473.</w:t>
      </w:r>
    </w:p>
    <w:p w:rsidR="0019007C" w:rsidRDefault="0019007C" w:rsidP="0019007C">
      <w:pPr>
        <w:pStyle w:val="NormaleWeb"/>
        <w:spacing w:before="240" w:beforeAutospacing="0" w:after="240" w:afterAutospacing="0"/>
        <w:jc w:val="both"/>
        <w:rPr>
          <w:color w:val="000000"/>
        </w:rPr>
      </w:pPr>
    </w:p>
    <w:p w:rsidR="0019007C" w:rsidRDefault="0019007C" w:rsidP="0019007C">
      <w:pPr>
        <w:pStyle w:val="NormaleWeb"/>
        <w:spacing w:before="240" w:beforeAutospacing="0" w:after="240" w:afterAutospacing="0"/>
        <w:jc w:val="both"/>
        <w:rPr>
          <w:color w:val="000000"/>
        </w:rPr>
      </w:pPr>
      <w:r>
        <w:rPr>
          <w:color w:val="000000"/>
        </w:rPr>
        <w:t>Professoressa</w:t>
      </w:r>
    </w:p>
    <w:p w:rsidR="0019007C" w:rsidRDefault="0019007C" w:rsidP="0019007C">
      <w:pPr>
        <w:pStyle w:val="NormaleWeb"/>
        <w:spacing w:before="240" w:beforeAutospacing="0" w:after="240" w:afterAutospacing="0"/>
        <w:jc w:val="both"/>
        <w:rPr>
          <w:color w:val="000000"/>
        </w:rPr>
      </w:pPr>
      <w:r>
        <w:rPr>
          <w:color w:val="000000"/>
        </w:rPr>
        <w:t>Isabella Piersanti</w:t>
      </w:r>
    </w:p>
    <w:p w:rsidR="0019007C" w:rsidRDefault="0019007C" w:rsidP="0019007C">
      <w:pPr>
        <w:pStyle w:val="NormaleWeb"/>
        <w:spacing w:before="240" w:beforeAutospacing="0" w:after="240" w:afterAutospacing="0"/>
        <w:jc w:val="both"/>
        <w:rPr>
          <w:color w:val="000000"/>
        </w:rPr>
      </w:pPr>
    </w:p>
    <w:p w:rsidR="0019007C" w:rsidRDefault="0019007C" w:rsidP="0019007C">
      <w:pPr>
        <w:pStyle w:val="NormaleWeb"/>
        <w:spacing w:before="240" w:beforeAutospacing="0" w:after="240" w:afterAutospacing="0"/>
        <w:jc w:val="both"/>
      </w:pPr>
      <w:r>
        <w:rPr>
          <w:color w:val="000000"/>
        </w:rPr>
        <w:t>Rappresentanti di classe</w:t>
      </w:r>
    </w:p>
    <w:p w:rsidR="00E86BEB" w:rsidRDefault="00E86BEB"/>
    <w:sectPr w:rsidR="00E86BEB" w:rsidSect="004647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D69DC"/>
    <w:multiLevelType w:val="hybridMultilevel"/>
    <w:tmpl w:val="00BC92DE"/>
    <w:lvl w:ilvl="0" w:tplc="2C80B7D6">
      <w:numFmt w:val="bullet"/>
      <w:lvlText w:val="-"/>
      <w:lvlJc w:val="left"/>
      <w:pPr>
        <w:ind w:left="1080" w:hanging="360"/>
      </w:pPr>
      <w:rPr>
        <w:rFonts w:ascii="Calibri" w:eastAsiaTheme="minorHAnsi" w:hAnsi="Calibri"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75A913AF"/>
    <w:multiLevelType w:val="hybridMultilevel"/>
    <w:tmpl w:val="1CD69B92"/>
    <w:lvl w:ilvl="0" w:tplc="399C6A9A">
      <w:numFmt w:val="bullet"/>
      <w:lvlText w:val="-"/>
      <w:lvlJc w:val="left"/>
      <w:pPr>
        <w:ind w:left="1080" w:hanging="360"/>
      </w:pPr>
      <w:rPr>
        <w:rFonts w:ascii="Calibri" w:eastAsiaTheme="minorHAnsi" w:hAnsi="Calibri"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7AFC59F2"/>
    <w:multiLevelType w:val="hybridMultilevel"/>
    <w:tmpl w:val="EADA5C06"/>
    <w:lvl w:ilvl="0" w:tplc="AC1640DE">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82568707">
    <w:abstractNumId w:val="2"/>
  </w:num>
  <w:num w:numId="2" w16cid:durableId="583228425">
    <w:abstractNumId w:val="1"/>
  </w:num>
  <w:num w:numId="3" w16cid:durableId="166489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86BEB"/>
    <w:rsid w:val="000A4750"/>
    <w:rsid w:val="0019007C"/>
    <w:rsid w:val="00233579"/>
    <w:rsid w:val="002405BA"/>
    <w:rsid w:val="00464729"/>
    <w:rsid w:val="00611E88"/>
    <w:rsid w:val="007D2EC6"/>
    <w:rsid w:val="00847730"/>
    <w:rsid w:val="009E0CEF"/>
    <w:rsid w:val="009E7776"/>
    <w:rsid w:val="00B936F0"/>
    <w:rsid w:val="00D05981"/>
    <w:rsid w:val="00E86BEB"/>
    <w:rsid w:val="00F06954"/>
    <w:rsid w:val="00FB2D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C469"/>
  <w15:docId w15:val="{4688AF41-9647-4EB7-B6DB-1A814228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6B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86BEB"/>
    <w:pPr>
      <w:keepNext/>
      <w:ind w:right="-1"/>
      <w:jc w:val="center"/>
      <w:outlineLvl w:val="0"/>
    </w:pPr>
    <w:rPr>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86BEB"/>
    <w:rPr>
      <w:rFonts w:ascii="Times New Roman" w:eastAsia="Times New Roman" w:hAnsi="Times New Roman" w:cs="Times New Roman"/>
      <w:b/>
      <w:sz w:val="32"/>
      <w:szCs w:val="20"/>
      <w:lang w:eastAsia="it-IT"/>
    </w:rPr>
  </w:style>
  <w:style w:type="paragraph" w:styleId="Paragrafoelenco">
    <w:name w:val="List Paragraph"/>
    <w:basedOn w:val="Normale"/>
    <w:uiPriority w:val="34"/>
    <w:qFormat/>
    <w:rsid w:val="00611E88"/>
    <w:pPr>
      <w:spacing w:after="160" w:line="25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semiHidden/>
    <w:unhideWhenUsed/>
    <w:rsid w:val="001900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705">
      <w:bodyDiv w:val="1"/>
      <w:marLeft w:val="0"/>
      <w:marRight w:val="0"/>
      <w:marTop w:val="0"/>
      <w:marBottom w:val="0"/>
      <w:divBdr>
        <w:top w:val="none" w:sz="0" w:space="0" w:color="auto"/>
        <w:left w:val="none" w:sz="0" w:space="0" w:color="auto"/>
        <w:bottom w:val="none" w:sz="0" w:space="0" w:color="auto"/>
        <w:right w:val="none" w:sz="0" w:space="0" w:color="auto"/>
      </w:divBdr>
    </w:div>
    <w:div w:id="1917202073">
      <w:bodyDiv w:val="1"/>
      <w:marLeft w:val="0"/>
      <w:marRight w:val="0"/>
      <w:marTop w:val="0"/>
      <w:marBottom w:val="0"/>
      <w:divBdr>
        <w:top w:val="none" w:sz="0" w:space="0" w:color="auto"/>
        <w:left w:val="none" w:sz="0" w:space="0" w:color="auto"/>
        <w:bottom w:val="none" w:sz="0" w:space="0" w:color="auto"/>
        <w:right w:val="none" w:sz="0" w:space="0" w:color="auto"/>
      </w:divBdr>
    </w:div>
    <w:div w:id="19253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CC76-FBD4-4710-BAED-6E935B5F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495</Words>
  <Characters>2828</Characters>
  <Application>Microsoft Office Word</Application>
  <DocSecurity>0</DocSecurity>
  <Lines>23</Lines>
  <Paragraphs>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LICEO SCIENTIFICO STATALE </vt:lpstr>
      <vt:lpstr>" MORGAGNI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piersanti</dc:creator>
  <cp:keywords/>
  <dc:description/>
  <cp:lastModifiedBy>isabella piersanti</cp:lastModifiedBy>
  <cp:revision>15</cp:revision>
  <cp:lastPrinted>2023-06-04T16:37:00Z</cp:lastPrinted>
  <dcterms:created xsi:type="dcterms:W3CDTF">2019-05-03T17:32:00Z</dcterms:created>
  <dcterms:modified xsi:type="dcterms:W3CDTF">2023-06-04T17:43:00Z</dcterms:modified>
</cp:coreProperties>
</file>