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32" w:rsidRDefault="00BB4A0E">
      <w:pPr>
        <w:jc w:val="center"/>
        <w:rPr>
          <w:i/>
          <w:sz w:val="16"/>
          <w:szCs w:val="16"/>
        </w:rPr>
      </w:pPr>
      <w:r>
        <w:rPr>
          <w:noProof/>
        </w:rPr>
        <w:object w:dxaOrig="809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36pt" o:ole="" filled="t">
            <v:fill color2="black"/>
            <v:imagedata r:id="rId7" o:title=""/>
          </v:shape>
          <o:OLEObject Type="Embed" ProgID="PBrush" ShapeID="_x0000_i1025" DrawAspect="Content" ObjectID="_1747478398" r:id="rId8"/>
        </w:object>
      </w:r>
    </w:p>
    <w:p w:rsidR="00E05132" w:rsidRDefault="00E05132">
      <w:pPr>
        <w:jc w:val="center"/>
        <w:rPr>
          <w:i/>
          <w:sz w:val="16"/>
          <w:szCs w:val="16"/>
        </w:rPr>
      </w:pPr>
    </w:p>
    <w:p w:rsidR="00E05132" w:rsidRDefault="00E0513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Liceo scientifico statale Morgagni</w:t>
      </w:r>
    </w:p>
    <w:p w:rsidR="00E05132" w:rsidRDefault="00E05132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sz w:val="28"/>
          <w:szCs w:val="28"/>
        </w:rPr>
        <w:t xml:space="preserve">Anno scolastico </w:t>
      </w:r>
      <w:r w:rsidR="00340CEC">
        <w:rPr>
          <w:sz w:val="28"/>
          <w:szCs w:val="28"/>
        </w:rPr>
        <w:t>20</w:t>
      </w:r>
      <w:r w:rsidR="00445D7A">
        <w:rPr>
          <w:sz w:val="28"/>
          <w:szCs w:val="28"/>
        </w:rPr>
        <w:t>2</w:t>
      </w:r>
      <w:r w:rsidR="00E346D4">
        <w:rPr>
          <w:sz w:val="28"/>
          <w:szCs w:val="28"/>
        </w:rPr>
        <w:t>2</w:t>
      </w:r>
      <w:r w:rsidR="00340CEC">
        <w:rPr>
          <w:sz w:val="28"/>
          <w:szCs w:val="28"/>
        </w:rPr>
        <w:t>-202</w:t>
      </w:r>
      <w:r w:rsidR="00E346D4">
        <w:rPr>
          <w:sz w:val="28"/>
          <w:szCs w:val="28"/>
        </w:rPr>
        <w:t>3</w:t>
      </w:r>
    </w:p>
    <w:p w:rsidR="00E05132" w:rsidRDefault="00E05132">
      <w:pPr>
        <w:spacing w:after="120"/>
        <w:rPr>
          <w:rFonts w:ascii="Arial" w:hAnsi="Arial" w:cs="Arial"/>
          <w:b/>
          <w:i/>
          <w:sz w:val="16"/>
          <w:szCs w:val="16"/>
        </w:rPr>
      </w:pPr>
    </w:p>
    <w:p w:rsidR="00E05132" w:rsidRDefault="00E0513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Programma svolto di STORIA - Classe QUARTA Sezione </w:t>
      </w:r>
      <w:r w:rsidR="0033753E">
        <w:rPr>
          <w:rFonts w:ascii="Arial" w:hAnsi="Arial" w:cs="Arial"/>
          <w:b/>
          <w:sz w:val="22"/>
          <w:szCs w:val="22"/>
        </w:rPr>
        <w:t>F</w:t>
      </w:r>
    </w:p>
    <w:p w:rsidR="00E05132" w:rsidRDefault="00445D7A">
      <w:pPr>
        <w:spacing w:after="120"/>
        <w:jc w:val="center"/>
      </w:pPr>
      <w:r>
        <w:rPr>
          <w:rFonts w:ascii="Arial" w:hAnsi="Arial" w:cs="Arial"/>
          <w:b/>
          <w:sz w:val="22"/>
          <w:szCs w:val="22"/>
        </w:rPr>
        <w:t xml:space="preserve">Prof.ssa </w:t>
      </w:r>
      <w:r w:rsidR="00E05132">
        <w:rPr>
          <w:rFonts w:ascii="Arial" w:hAnsi="Arial" w:cs="Arial"/>
          <w:b/>
          <w:sz w:val="22"/>
          <w:szCs w:val="22"/>
        </w:rPr>
        <w:t xml:space="preserve">Carola Catenacci </w:t>
      </w:r>
    </w:p>
    <w:p w:rsidR="00E05132" w:rsidRDefault="00E05132">
      <w:pPr>
        <w:rPr>
          <w:sz w:val="16"/>
          <w:szCs w:val="16"/>
        </w:rPr>
      </w:pPr>
    </w:p>
    <w:p w:rsidR="008E5E8C" w:rsidRDefault="008E5E8C">
      <w:pPr>
        <w:widowControl w:val="0"/>
        <w:autoSpaceDE w:val="0"/>
        <w:spacing w:before="120"/>
        <w:jc w:val="both"/>
        <w:rPr>
          <w:b/>
        </w:rPr>
      </w:pPr>
    </w:p>
    <w:p w:rsidR="00691E33" w:rsidRDefault="008E5E8C">
      <w:pPr>
        <w:widowControl w:val="0"/>
        <w:autoSpaceDE w:val="0"/>
        <w:spacing w:before="120"/>
        <w:jc w:val="both"/>
        <w:rPr>
          <w:b/>
        </w:rPr>
      </w:pPr>
      <w:r>
        <w:rPr>
          <w:b/>
        </w:rPr>
        <w:t>Integrazione del programma dell’anno precedente:</w:t>
      </w:r>
    </w:p>
    <w:p w:rsidR="008E5E8C" w:rsidRDefault="008E5E8C" w:rsidP="008E5E8C">
      <w:pPr>
        <w:widowControl w:val="0"/>
        <w:autoSpaceDE w:val="0"/>
        <w:ind w:left="539"/>
        <w:jc w:val="both"/>
        <w:rPr>
          <w:sz w:val="22"/>
          <w:szCs w:val="22"/>
        </w:rPr>
      </w:pPr>
      <w:r w:rsidRPr="008E5E8C">
        <w:rPr>
          <w:b/>
          <w:i/>
          <w:sz w:val="22"/>
          <w:szCs w:val="22"/>
        </w:rPr>
        <w:t>La Riforma protestante</w:t>
      </w:r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motivazioni; Martin Lutero e le 95 tesi; </w:t>
      </w:r>
      <w:r w:rsidRPr="008E5E8C">
        <w:rPr>
          <w:sz w:val="22"/>
          <w:szCs w:val="22"/>
        </w:rPr>
        <w:t xml:space="preserve">le </w:t>
      </w:r>
      <w:r>
        <w:rPr>
          <w:sz w:val="22"/>
          <w:szCs w:val="22"/>
        </w:rPr>
        <w:t>diverse</w:t>
      </w:r>
      <w:r w:rsidRPr="008E5E8C">
        <w:rPr>
          <w:sz w:val="22"/>
          <w:szCs w:val="22"/>
        </w:rPr>
        <w:t xml:space="preserve"> chiese riformate, inclusa quella anglicana (vicenda di</w:t>
      </w:r>
      <w:r>
        <w:rPr>
          <w:sz w:val="22"/>
          <w:szCs w:val="22"/>
        </w:rPr>
        <w:t xml:space="preserve"> </w:t>
      </w:r>
      <w:r w:rsidRPr="008E5E8C">
        <w:rPr>
          <w:sz w:val="22"/>
          <w:szCs w:val="22"/>
        </w:rPr>
        <w:t>Enrico VIII); la Controriforma cattolica (Concilio di Tre</w:t>
      </w:r>
      <w:r w:rsidR="00340CEC">
        <w:rPr>
          <w:sz w:val="22"/>
          <w:szCs w:val="22"/>
        </w:rPr>
        <w:t>nto); tolleranza e intolleranza.</w:t>
      </w:r>
    </w:p>
    <w:p w:rsidR="006D6B7E" w:rsidRDefault="006D6B7E" w:rsidP="008E5E8C">
      <w:pPr>
        <w:widowControl w:val="0"/>
        <w:autoSpaceDE w:val="0"/>
        <w:ind w:left="539"/>
        <w:jc w:val="both"/>
        <w:rPr>
          <w:sz w:val="22"/>
          <w:szCs w:val="22"/>
        </w:rPr>
      </w:pPr>
    </w:p>
    <w:p w:rsidR="00934174" w:rsidRPr="00934174" w:rsidRDefault="00934174" w:rsidP="00934174">
      <w:pPr>
        <w:widowControl w:val="0"/>
        <w:autoSpaceDE w:val="0"/>
        <w:spacing w:before="120"/>
        <w:jc w:val="both"/>
        <w:rPr>
          <w:b/>
          <w:i/>
          <w:sz w:val="22"/>
          <w:szCs w:val="22"/>
        </w:rPr>
      </w:pPr>
      <w:r w:rsidRPr="00934174">
        <w:rPr>
          <w:b/>
        </w:rPr>
        <w:t xml:space="preserve">Modulo 1: </w:t>
      </w:r>
      <w:r w:rsidR="00691E33">
        <w:rPr>
          <w:b/>
        </w:rPr>
        <w:t>Lo stato moderno (l’a</w:t>
      </w:r>
      <w:r w:rsidRPr="00934174">
        <w:rPr>
          <w:b/>
        </w:rPr>
        <w:t>ssolutismo monarchico e l’affermazione del Parlamento in Inghilterra</w:t>
      </w:r>
      <w:r w:rsidR="00691E33">
        <w:rPr>
          <w:b/>
        </w:rPr>
        <w:t>)</w:t>
      </w:r>
    </w:p>
    <w:p w:rsidR="00934174" w:rsidRPr="00934174" w:rsidRDefault="00934174" w:rsidP="00934174">
      <w:pPr>
        <w:widowControl w:val="0"/>
        <w:autoSpaceDE w:val="0"/>
        <w:ind w:left="539"/>
        <w:jc w:val="both"/>
        <w:rPr>
          <w:b/>
          <w:i/>
          <w:sz w:val="22"/>
          <w:szCs w:val="22"/>
        </w:rPr>
      </w:pPr>
      <w:r w:rsidRPr="00934174">
        <w:rPr>
          <w:b/>
          <w:i/>
          <w:sz w:val="22"/>
          <w:szCs w:val="22"/>
        </w:rPr>
        <w:t>Gli stati assoluti</w:t>
      </w:r>
      <w:r w:rsidRPr="00934174">
        <w:rPr>
          <w:sz w:val="22"/>
          <w:szCs w:val="22"/>
        </w:rPr>
        <w:t xml:space="preserve">: definizione. La Francia di Luigi XIV: la società di ordini; nobiltà di spada e nobiltà di toga; la politica amministrativa e fiscale; la politica economica (colbertismo). I nuovi stati emergenti: la Russia di Pietro il Grande e la Prussia degli Hohenzollern. La situazione dell’Impero asburgico. Il declino di Spagna e Portogallo. </w:t>
      </w:r>
    </w:p>
    <w:p w:rsidR="00934174" w:rsidRPr="00934174" w:rsidRDefault="00934174" w:rsidP="00934174">
      <w:pPr>
        <w:widowControl w:val="0"/>
        <w:autoSpaceDE w:val="0"/>
        <w:ind w:left="539"/>
        <w:jc w:val="both"/>
        <w:rPr>
          <w:b/>
          <w:i/>
          <w:sz w:val="22"/>
          <w:szCs w:val="22"/>
        </w:rPr>
      </w:pPr>
      <w:r w:rsidRPr="00934174">
        <w:rPr>
          <w:b/>
          <w:i/>
          <w:sz w:val="22"/>
          <w:szCs w:val="22"/>
        </w:rPr>
        <w:t>L’esperienza politica dell’Inghilterra</w:t>
      </w:r>
      <w:r w:rsidR="00E346D4">
        <w:rPr>
          <w:b/>
          <w:i/>
          <w:sz w:val="22"/>
          <w:szCs w:val="22"/>
        </w:rPr>
        <w:t xml:space="preserve"> nel XVII secolo</w:t>
      </w:r>
      <w:r w:rsidRPr="00934174">
        <w:rPr>
          <w:sz w:val="22"/>
          <w:szCs w:val="22"/>
        </w:rPr>
        <w:t xml:space="preserve">: evoluzione economico-commerciale dal basso medioevo al regno di Elisabetta I (dagli </w:t>
      </w:r>
      <w:r w:rsidRPr="00934174">
        <w:rPr>
          <w:i/>
          <w:sz w:val="22"/>
          <w:szCs w:val="22"/>
        </w:rPr>
        <w:t>openfields</w:t>
      </w:r>
      <w:r w:rsidRPr="00934174">
        <w:rPr>
          <w:sz w:val="22"/>
          <w:szCs w:val="22"/>
        </w:rPr>
        <w:t xml:space="preserve"> alle </w:t>
      </w:r>
      <w:r w:rsidRPr="00934174">
        <w:rPr>
          <w:i/>
          <w:sz w:val="22"/>
          <w:szCs w:val="22"/>
        </w:rPr>
        <w:t>enclosures</w:t>
      </w:r>
      <w:r w:rsidRPr="00934174">
        <w:rPr>
          <w:sz w:val="22"/>
          <w:szCs w:val="22"/>
        </w:rPr>
        <w:t xml:space="preserve">; </w:t>
      </w:r>
      <w:r w:rsidRPr="00934174">
        <w:rPr>
          <w:i/>
          <w:sz w:val="22"/>
          <w:szCs w:val="22"/>
        </w:rPr>
        <w:t>gentry</w:t>
      </w:r>
      <w:r w:rsidRPr="00934174">
        <w:rPr>
          <w:sz w:val="22"/>
          <w:szCs w:val="22"/>
        </w:rPr>
        <w:t xml:space="preserve">, </w:t>
      </w:r>
      <w:r w:rsidRPr="00934174">
        <w:rPr>
          <w:i/>
          <w:sz w:val="22"/>
          <w:szCs w:val="22"/>
        </w:rPr>
        <w:t>yeomanry</w:t>
      </w:r>
      <w:r w:rsidRPr="00934174">
        <w:rPr>
          <w:sz w:val="22"/>
          <w:szCs w:val="22"/>
        </w:rPr>
        <w:t xml:space="preserve"> e puritanesimo). La politica assolutistica degli Stuart e le due rivoluzioni inglesi. L’esodo dei puritani verso il “mondo nuovo”. Il </w:t>
      </w:r>
      <w:r w:rsidRPr="00934174">
        <w:rPr>
          <w:i/>
          <w:sz w:val="22"/>
          <w:szCs w:val="22"/>
        </w:rPr>
        <w:t>Bill of Rights</w:t>
      </w:r>
      <w:r w:rsidRPr="00934174">
        <w:rPr>
          <w:sz w:val="22"/>
          <w:szCs w:val="22"/>
        </w:rPr>
        <w:t>, l’</w:t>
      </w:r>
      <w:r w:rsidRPr="00934174">
        <w:rPr>
          <w:i/>
          <w:sz w:val="22"/>
          <w:szCs w:val="22"/>
        </w:rPr>
        <w:t>Act of Settlement</w:t>
      </w:r>
      <w:r w:rsidRPr="00934174">
        <w:rPr>
          <w:sz w:val="22"/>
          <w:szCs w:val="22"/>
        </w:rPr>
        <w:t xml:space="preserve"> e il concetto di laicità dello Stato.</w:t>
      </w:r>
    </w:p>
    <w:p w:rsidR="00934174" w:rsidRPr="00934174" w:rsidRDefault="00934174" w:rsidP="00934174">
      <w:pPr>
        <w:widowControl w:val="0"/>
        <w:autoSpaceDE w:val="0"/>
        <w:ind w:left="539"/>
        <w:jc w:val="both"/>
        <w:rPr>
          <w:sz w:val="22"/>
          <w:szCs w:val="22"/>
        </w:rPr>
      </w:pPr>
      <w:r w:rsidRPr="00934174">
        <w:rPr>
          <w:b/>
          <w:i/>
          <w:sz w:val="22"/>
          <w:szCs w:val="22"/>
        </w:rPr>
        <w:t>Le guerre nella prima metà del Settecento</w:t>
      </w:r>
      <w:r w:rsidRPr="00934174">
        <w:rPr>
          <w:sz w:val="22"/>
          <w:szCs w:val="22"/>
        </w:rPr>
        <w:t>: diplomazia e “politica dell’equilibrio”; la guerra dei Sette anni</w:t>
      </w:r>
      <w:r w:rsidR="00E346D4">
        <w:rPr>
          <w:sz w:val="22"/>
          <w:szCs w:val="22"/>
        </w:rPr>
        <w:t xml:space="preserve"> (come prima “guerra mondiale”)</w:t>
      </w:r>
      <w:r w:rsidRPr="00934174">
        <w:rPr>
          <w:sz w:val="22"/>
          <w:szCs w:val="22"/>
        </w:rPr>
        <w:t>; pirateria e contrabbando; il commercio triangolare degli schiavi africani.</w:t>
      </w:r>
    </w:p>
    <w:p w:rsidR="00934174" w:rsidRPr="00934174" w:rsidRDefault="00934174" w:rsidP="00934174">
      <w:pPr>
        <w:widowControl w:val="0"/>
        <w:autoSpaceDE w:val="0"/>
        <w:ind w:left="539"/>
        <w:jc w:val="both"/>
        <w:rPr>
          <w:rFonts w:ascii="Arial" w:hAnsi="Arial" w:cs="Arial"/>
          <w:b/>
          <w:i/>
          <w:sz w:val="22"/>
          <w:szCs w:val="22"/>
        </w:rPr>
      </w:pPr>
    </w:p>
    <w:p w:rsidR="005A0D58" w:rsidRPr="00465350" w:rsidRDefault="005A0D58" w:rsidP="005A0D58">
      <w:pPr>
        <w:widowControl w:val="0"/>
        <w:autoSpaceDE w:val="0"/>
        <w:jc w:val="both"/>
        <w:rPr>
          <w:b/>
        </w:rPr>
      </w:pPr>
      <w:r w:rsidRPr="00465350">
        <w:rPr>
          <w:b/>
        </w:rPr>
        <w:t>Modulo 2: Dall’</w:t>
      </w:r>
      <w:r w:rsidRPr="006953BE">
        <w:rPr>
          <w:b/>
          <w:i/>
        </w:rPr>
        <w:t>Ancien régime</w:t>
      </w:r>
      <w:r w:rsidRPr="00465350">
        <w:rPr>
          <w:b/>
        </w:rPr>
        <w:t xml:space="preserve"> all’Illuminismo  </w:t>
      </w:r>
    </w:p>
    <w:p w:rsidR="005A0D58" w:rsidRPr="005A0D58" w:rsidRDefault="005A0D58" w:rsidP="001D7C1A">
      <w:pPr>
        <w:widowControl w:val="0"/>
        <w:autoSpaceDE w:val="0"/>
        <w:ind w:left="708"/>
        <w:jc w:val="both"/>
        <w:rPr>
          <w:sz w:val="22"/>
          <w:szCs w:val="22"/>
        </w:rPr>
      </w:pPr>
      <w:r w:rsidRPr="00EC5639">
        <w:rPr>
          <w:b/>
          <w:i/>
          <w:sz w:val="22"/>
          <w:szCs w:val="22"/>
        </w:rPr>
        <w:t>Illuminismo e politica delle riforme:</w:t>
      </w:r>
      <w:r w:rsidRPr="005A0D58">
        <w:rPr>
          <w:sz w:val="22"/>
          <w:szCs w:val="22"/>
        </w:rPr>
        <w:t xml:space="preserve"> le origini (il modello politico e culturale inglese); </w:t>
      </w:r>
      <w:r w:rsidR="00445D7A">
        <w:rPr>
          <w:sz w:val="22"/>
          <w:szCs w:val="22"/>
        </w:rPr>
        <w:t xml:space="preserve">la definizione kantiana; </w:t>
      </w:r>
      <w:r w:rsidRPr="005A0D58">
        <w:rPr>
          <w:sz w:val="22"/>
          <w:szCs w:val="22"/>
        </w:rPr>
        <w:t>principali figure e temi dell’Illuminismo: teorie politiche (</w:t>
      </w:r>
      <w:r w:rsidRPr="006B03C5">
        <w:rPr>
          <w:b/>
          <w:sz w:val="22"/>
          <w:szCs w:val="22"/>
        </w:rPr>
        <w:t>Montesquieu, Voltaire, Rousseau</w:t>
      </w:r>
      <w:r w:rsidRPr="005A0D58">
        <w:rPr>
          <w:sz w:val="22"/>
          <w:szCs w:val="22"/>
        </w:rPr>
        <w:t>), teorie economiche (</w:t>
      </w:r>
      <w:r w:rsidRPr="00DB113D">
        <w:rPr>
          <w:b/>
          <w:sz w:val="22"/>
          <w:szCs w:val="22"/>
        </w:rPr>
        <w:t>Malthus, Smith, Ricardo</w:t>
      </w:r>
      <w:r w:rsidRPr="005A0D58">
        <w:rPr>
          <w:sz w:val="22"/>
          <w:szCs w:val="22"/>
        </w:rPr>
        <w:t>), giusnaturalismo (</w:t>
      </w:r>
      <w:r w:rsidRPr="00DB113D">
        <w:rPr>
          <w:i/>
          <w:sz w:val="22"/>
          <w:szCs w:val="22"/>
        </w:rPr>
        <w:t>Leviatano</w:t>
      </w:r>
      <w:r w:rsidRPr="005A0D58">
        <w:rPr>
          <w:sz w:val="22"/>
          <w:szCs w:val="22"/>
        </w:rPr>
        <w:t xml:space="preserve"> di </w:t>
      </w:r>
      <w:r w:rsidRPr="001D1D28">
        <w:rPr>
          <w:b/>
          <w:sz w:val="22"/>
          <w:szCs w:val="22"/>
        </w:rPr>
        <w:t>Hobbes</w:t>
      </w:r>
      <w:r w:rsidRPr="005A0D58">
        <w:rPr>
          <w:sz w:val="22"/>
          <w:szCs w:val="22"/>
        </w:rPr>
        <w:t xml:space="preserve"> e </w:t>
      </w:r>
      <w:r w:rsidRPr="00DB113D">
        <w:rPr>
          <w:i/>
          <w:sz w:val="22"/>
          <w:szCs w:val="22"/>
        </w:rPr>
        <w:t>I due trattati sul governo</w:t>
      </w:r>
      <w:r w:rsidRPr="005A0D58">
        <w:rPr>
          <w:sz w:val="22"/>
          <w:szCs w:val="22"/>
        </w:rPr>
        <w:t xml:space="preserve"> di </w:t>
      </w:r>
      <w:r w:rsidRPr="001D1D28">
        <w:rPr>
          <w:b/>
          <w:sz w:val="22"/>
          <w:szCs w:val="22"/>
        </w:rPr>
        <w:t>Locke</w:t>
      </w:r>
      <w:r w:rsidRPr="005A0D58">
        <w:rPr>
          <w:sz w:val="22"/>
          <w:szCs w:val="22"/>
        </w:rPr>
        <w:t xml:space="preserve">), riforme del diritto penale (Cesare </w:t>
      </w:r>
      <w:r w:rsidRPr="001D1D28">
        <w:rPr>
          <w:b/>
          <w:sz w:val="22"/>
          <w:szCs w:val="22"/>
        </w:rPr>
        <w:t>Beccaria</w:t>
      </w:r>
      <w:r w:rsidRPr="005A0D58">
        <w:rPr>
          <w:sz w:val="22"/>
          <w:szCs w:val="22"/>
        </w:rPr>
        <w:t>), anti-clericalismo, tolleranza, estensione dell’istruzione, maturazione della società civile; la nuova visione del sapere (</w:t>
      </w:r>
      <w:r w:rsidRPr="00E220F8">
        <w:rPr>
          <w:i/>
          <w:sz w:val="22"/>
          <w:szCs w:val="22"/>
        </w:rPr>
        <w:t>arbor</w:t>
      </w:r>
      <w:r w:rsidRPr="005A0D58">
        <w:rPr>
          <w:sz w:val="22"/>
          <w:szCs w:val="22"/>
        </w:rPr>
        <w:t xml:space="preserve"> </w:t>
      </w:r>
      <w:r w:rsidRPr="00E220F8">
        <w:rPr>
          <w:i/>
          <w:sz w:val="22"/>
          <w:szCs w:val="22"/>
        </w:rPr>
        <w:t>scientiarum</w:t>
      </w:r>
      <w:r w:rsidRPr="005A0D58">
        <w:rPr>
          <w:sz w:val="22"/>
          <w:szCs w:val="22"/>
        </w:rPr>
        <w:t>), la pubblicazione dell’</w:t>
      </w:r>
      <w:r w:rsidRPr="00EC5639">
        <w:rPr>
          <w:i/>
          <w:sz w:val="22"/>
          <w:szCs w:val="22"/>
        </w:rPr>
        <w:t>Encyclopédie</w:t>
      </w:r>
      <w:r w:rsidRPr="005A0D58">
        <w:rPr>
          <w:sz w:val="22"/>
          <w:szCs w:val="22"/>
        </w:rPr>
        <w:t xml:space="preserve"> e la soppressione della Compagnia di Gesù. Esempi di “sovrani illuminati” e di riforme: Maria Teresa e Giuseppe II d’Asburgo, Federico II di Prussia, Caterina II di Russia. L’Illuminismo in Italia: il catasto lombardo, le riforme di Pietro Leopoldo di Toscana. Le mancate riforme in Francia e nel Regno di Napoli.</w:t>
      </w:r>
    </w:p>
    <w:p w:rsidR="005A0D58" w:rsidRPr="005A0D58" w:rsidRDefault="005A0D58" w:rsidP="001D7C1A">
      <w:pPr>
        <w:widowControl w:val="0"/>
        <w:autoSpaceDE w:val="0"/>
        <w:ind w:left="708"/>
        <w:jc w:val="both"/>
        <w:rPr>
          <w:sz w:val="22"/>
          <w:szCs w:val="22"/>
        </w:rPr>
      </w:pPr>
    </w:p>
    <w:p w:rsidR="005A0D58" w:rsidRPr="005A0D58" w:rsidRDefault="005A0D58" w:rsidP="000E099A">
      <w:pPr>
        <w:widowControl w:val="0"/>
        <w:autoSpaceDE w:val="0"/>
        <w:ind w:left="2832"/>
        <w:rPr>
          <w:sz w:val="22"/>
          <w:szCs w:val="22"/>
        </w:rPr>
      </w:pPr>
      <w:r w:rsidRPr="00B14391">
        <w:rPr>
          <w:b/>
          <w:sz w:val="22"/>
          <w:szCs w:val="22"/>
        </w:rPr>
        <w:t>Documenti e storiografia</w:t>
      </w:r>
      <w:r w:rsidRPr="005A0D58">
        <w:rPr>
          <w:sz w:val="22"/>
          <w:szCs w:val="22"/>
        </w:rPr>
        <w:t xml:space="preserve">, estratti da: J. Locke, </w:t>
      </w:r>
      <w:r w:rsidRPr="00B011CE">
        <w:rPr>
          <w:i/>
          <w:sz w:val="22"/>
          <w:szCs w:val="22"/>
        </w:rPr>
        <w:t>Scritti editi e inediti sulla tolleranza</w:t>
      </w:r>
      <w:r w:rsidRPr="005A0D58">
        <w:rPr>
          <w:sz w:val="22"/>
          <w:szCs w:val="22"/>
        </w:rPr>
        <w:t xml:space="preserve">; Voltaire, </w:t>
      </w:r>
      <w:r w:rsidRPr="00B011CE">
        <w:rPr>
          <w:i/>
          <w:sz w:val="22"/>
          <w:szCs w:val="22"/>
        </w:rPr>
        <w:t>Lettere sugli inglesi</w:t>
      </w:r>
      <w:r w:rsidRPr="005A0D58">
        <w:rPr>
          <w:sz w:val="22"/>
          <w:szCs w:val="22"/>
        </w:rPr>
        <w:t xml:space="preserve">, Lettera VI; C. Beccaria, </w:t>
      </w:r>
      <w:r w:rsidRPr="00B011CE">
        <w:rPr>
          <w:i/>
          <w:sz w:val="22"/>
          <w:szCs w:val="22"/>
        </w:rPr>
        <w:t>Dei delitti e delle pene</w:t>
      </w:r>
      <w:r w:rsidRPr="005A0D58">
        <w:rPr>
          <w:sz w:val="22"/>
          <w:szCs w:val="22"/>
        </w:rPr>
        <w:t>.</w:t>
      </w:r>
    </w:p>
    <w:p w:rsidR="005A0D58" w:rsidRPr="005A0D58" w:rsidRDefault="005A0D58" w:rsidP="005A0D58">
      <w:pPr>
        <w:widowControl w:val="0"/>
        <w:autoSpaceDE w:val="0"/>
        <w:jc w:val="both"/>
        <w:rPr>
          <w:sz w:val="22"/>
          <w:szCs w:val="22"/>
        </w:rPr>
      </w:pPr>
    </w:p>
    <w:p w:rsidR="005A0D58" w:rsidRPr="00852790" w:rsidRDefault="005A0D58" w:rsidP="005A0D58">
      <w:pPr>
        <w:widowControl w:val="0"/>
        <w:autoSpaceDE w:val="0"/>
        <w:jc w:val="both"/>
        <w:rPr>
          <w:b/>
        </w:rPr>
      </w:pPr>
      <w:r w:rsidRPr="00852790">
        <w:rPr>
          <w:b/>
        </w:rPr>
        <w:t>Modulo 3: L’età delle rivoluzioni</w:t>
      </w:r>
    </w:p>
    <w:p w:rsidR="005A0D58" w:rsidRPr="005A0D58" w:rsidRDefault="005A0D58" w:rsidP="00FD4818">
      <w:pPr>
        <w:widowControl w:val="0"/>
        <w:autoSpaceDE w:val="0"/>
        <w:ind w:left="708"/>
        <w:jc w:val="both"/>
        <w:rPr>
          <w:sz w:val="22"/>
          <w:szCs w:val="22"/>
        </w:rPr>
      </w:pPr>
      <w:r w:rsidRPr="00852790">
        <w:rPr>
          <w:b/>
          <w:i/>
          <w:sz w:val="22"/>
          <w:szCs w:val="22"/>
        </w:rPr>
        <w:t>La prima rivoluzione industriale</w:t>
      </w:r>
      <w:r w:rsidRPr="005A0D58">
        <w:rPr>
          <w:sz w:val="22"/>
          <w:szCs w:val="22"/>
        </w:rPr>
        <w:t xml:space="preserve">, dalla proto-industria al sistema di fabbrica: dalla industria rurale a domicilio e dalle manifatture accentrate al progresso tecnologico (la macchina a vapore e le sue applicazioni, le industrie del cotone e del ferro; il </w:t>
      </w:r>
      <w:r w:rsidR="007772B6">
        <w:rPr>
          <w:sz w:val="22"/>
          <w:szCs w:val="22"/>
        </w:rPr>
        <w:t>“</w:t>
      </w:r>
      <w:r w:rsidRPr="005A0D58">
        <w:rPr>
          <w:sz w:val="22"/>
          <w:szCs w:val="22"/>
        </w:rPr>
        <w:t>sistema di fabbrica</w:t>
      </w:r>
      <w:r w:rsidR="007772B6">
        <w:rPr>
          <w:sz w:val="22"/>
          <w:szCs w:val="22"/>
        </w:rPr>
        <w:t>”</w:t>
      </w:r>
      <w:r w:rsidRPr="005A0D58">
        <w:rPr>
          <w:sz w:val="22"/>
          <w:szCs w:val="22"/>
        </w:rPr>
        <w:t xml:space="preserve"> e le trasformazioni dell’economia e della società: modello capitalistico -definizione marxiana- e nascita del proletariato; il luddismo).</w:t>
      </w:r>
    </w:p>
    <w:p w:rsidR="005A0D58" w:rsidRPr="005A0D58" w:rsidRDefault="005A0D58" w:rsidP="00FD4818">
      <w:pPr>
        <w:widowControl w:val="0"/>
        <w:autoSpaceDE w:val="0"/>
        <w:ind w:left="708"/>
        <w:jc w:val="both"/>
        <w:rPr>
          <w:sz w:val="22"/>
          <w:szCs w:val="22"/>
        </w:rPr>
      </w:pPr>
      <w:r w:rsidRPr="00522971">
        <w:rPr>
          <w:b/>
          <w:i/>
          <w:sz w:val="22"/>
          <w:szCs w:val="22"/>
        </w:rPr>
        <w:t>La rivoluzione americana</w:t>
      </w:r>
      <w:r w:rsidRPr="005A0D58">
        <w:rPr>
          <w:sz w:val="22"/>
          <w:szCs w:val="22"/>
        </w:rPr>
        <w:t>: caratteristiche geografiche, economiche e sociali delle colonie americane nei primi anni Sessanta del XVIII secolo; motivazioni per la rivendicazione d’indipendenza (</w:t>
      </w:r>
      <w:r w:rsidRPr="00BB4A0E">
        <w:rPr>
          <w:i/>
          <w:sz w:val="22"/>
          <w:szCs w:val="22"/>
        </w:rPr>
        <w:t xml:space="preserve">no </w:t>
      </w:r>
      <w:r w:rsidRPr="00BB4A0E">
        <w:rPr>
          <w:i/>
          <w:sz w:val="22"/>
          <w:szCs w:val="22"/>
        </w:rPr>
        <w:lastRenderedPageBreak/>
        <w:t>taxation without representation</w:t>
      </w:r>
      <w:r w:rsidRPr="005A0D58">
        <w:rPr>
          <w:sz w:val="22"/>
          <w:szCs w:val="22"/>
        </w:rPr>
        <w:t xml:space="preserve">); lo </w:t>
      </w:r>
      <w:r w:rsidRPr="00882C8D">
        <w:rPr>
          <w:i/>
          <w:sz w:val="22"/>
          <w:szCs w:val="22"/>
        </w:rPr>
        <w:t>Stamp Act</w:t>
      </w:r>
      <w:r w:rsidRPr="005A0D58">
        <w:rPr>
          <w:sz w:val="22"/>
          <w:szCs w:val="22"/>
        </w:rPr>
        <w:t xml:space="preserve"> e il boicottaggio (Boston Tea Party); la “Dichiarazione d’indipendenza”; lo scontro con le truppe inglesi.  La nascita degli Stati Uniti d’America: la scelta fra organizzazione confederale e federale, costituzione legittimata dalla sovranità popolare, gli Emendamenti alla Costituzione federale del 1787.</w:t>
      </w:r>
    </w:p>
    <w:p w:rsidR="005A0D58" w:rsidRPr="005A0D58" w:rsidRDefault="005A0D58" w:rsidP="00FD4818">
      <w:pPr>
        <w:widowControl w:val="0"/>
        <w:autoSpaceDE w:val="0"/>
        <w:ind w:left="708"/>
        <w:jc w:val="both"/>
        <w:rPr>
          <w:sz w:val="22"/>
          <w:szCs w:val="22"/>
        </w:rPr>
      </w:pPr>
      <w:r w:rsidRPr="005E130D">
        <w:rPr>
          <w:b/>
          <w:i/>
          <w:sz w:val="22"/>
          <w:szCs w:val="22"/>
        </w:rPr>
        <w:t>La rivoluzione francese</w:t>
      </w:r>
      <w:r w:rsidRPr="005A0D58">
        <w:rPr>
          <w:sz w:val="22"/>
          <w:szCs w:val="22"/>
        </w:rPr>
        <w:t xml:space="preserve">: l’assenza di riforme, la crisi economica ed il deficit pubblico francesi, le condizioni del Terzo stato. 1789-92, la fase monarchico-costituzionale: la convocazione degli Stati generali, la formazione dell’Assemblea nazionale costituente, la presa della Bastiglia, la “Dichiarazione dei diritti dell’uomo e del cittadino”, la fine della monarchia assoluta e del diritto feudale, la Costituzione del 1791 (in particolare, la distinzione fra cittadini “attivi” e “passivi” e le incongruenze con la “Dichiarazione dei diritti”); 1792-94: la fase repubblicano-democratica e il Terrore; elementi fondamentali della Costituzione del 1793; la rivolta della Vandea; il maximum e la legge sui sospetti (Marat); 1794-99: il Termidoro, la fase repubblicano-moderata (Costituzione del 1795), Babeuf e la congiura degli Eguali, l’ascesa di Napoleone fino al colpo di stato. </w:t>
      </w:r>
    </w:p>
    <w:p w:rsidR="005A0D58" w:rsidRPr="005A0D58" w:rsidRDefault="005A0D58" w:rsidP="005A0D58">
      <w:pPr>
        <w:widowControl w:val="0"/>
        <w:autoSpaceDE w:val="0"/>
        <w:jc w:val="both"/>
        <w:rPr>
          <w:sz w:val="22"/>
          <w:szCs w:val="22"/>
        </w:rPr>
      </w:pPr>
    </w:p>
    <w:p w:rsidR="005A0D58" w:rsidRPr="005A0D58" w:rsidRDefault="005A0D58" w:rsidP="00B14391">
      <w:pPr>
        <w:widowControl w:val="0"/>
        <w:autoSpaceDE w:val="0"/>
        <w:ind w:left="3540"/>
        <w:jc w:val="both"/>
        <w:rPr>
          <w:sz w:val="22"/>
          <w:szCs w:val="22"/>
        </w:rPr>
      </w:pPr>
      <w:r w:rsidRPr="00B14391">
        <w:rPr>
          <w:b/>
          <w:sz w:val="22"/>
          <w:szCs w:val="22"/>
        </w:rPr>
        <w:t>Documenti e storiografia</w:t>
      </w:r>
      <w:r w:rsidRPr="005A0D58">
        <w:rPr>
          <w:sz w:val="22"/>
          <w:szCs w:val="22"/>
        </w:rPr>
        <w:t xml:space="preserve">: </w:t>
      </w:r>
    </w:p>
    <w:p w:rsidR="005A0D58" w:rsidRPr="005A0D58" w:rsidRDefault="005A0D58" w:rsidP="00B14391">
      <w:pPr>
        <w:widowControl w:val="0"/>
        <w:autoSpaceDE w:val="0"/>
        <w:ind w:left="3540"/>
        <w:jc w:val="both"/>
        <w:rPr>
          <w:sz w:val="22"/>
          <w:szCs w:val="22"/>
        </w:rPr>
      </w:pPr>
      <w:r w:rsidRPr="005A0D58">
        <w:rPr>
          <w:sz w:val="22"/>
          <w:szCs w:val="22"/>
        </w:rPr>
        <w:t xml:space="preserve">Per la rivoluzione francese: “Il </w:t>
      </w:r>
      <w:r w:rsidRPr="00503F26">
        <w:rPr>
          <w:i/>
          <w:sz w:val="22"/>
          <w:szCs w:val="22"/>
        </w:rPr>
        <w:t>Cahier de dol</w:t>
      </w:r>
      <w:r w:rsidR="00163BA0">
        <w:rPr>
          <w:i/>
          <w:sz w:val="22"/>
          <w:szCs w:val="22"/>
        </w:rPr>
        <w:t>é</w:t>
      </w:r>
      <w:r w:rsidRPr="00503F26">
        <w:rPr>
          <w:i/>
          <w:sz w:val="22"/>
          <w:szCs w:val="22"/>
        </w:rPr>
        <w:t>ances</w:t>
      </w:r>
      <w:r w:rsidRPr="005A0D58">
        <w:rPr>
          <w:sz w:val="22"/>
          <w:szCs w:val="22"/>
        </w:rPr>
        <w:t xml:space="preserve"> della siniscalchia di Nimes”, estratto da i </w:t>
      </w:r>
      <w:r w:rsidRPr="004306B8">
        <w:rPr>
          <w:i/>
          <w:sz w:val="22"/>
          <w:szCs w:val="22"/>
        </w:rPr>
        <w:t>Cahiers de doléances</w:t>
      </w:r>
      <w:r w:rsidRPr="005A0D58">
        <w:rPr>
          <w:sz w:val="22"/>
          <w:szCs w:val="22"/>
        </w:rPr>
        <w:t>; artt. 1-6 della “Dichiarazione dei diritti dell’uomo e del cittadino”, analisi di alcune tra le più significative opere di Jacques-Louis David,</w:t>
      </w:r>
      <w:r w:rsidR="006E1E8C">
        <w:rPr>
          <w:sz w:val="22"/>
          <w:szCs w:val="22"/>
        </w:rPr>
        <w:t xml:space="preserve"> in partricolare</w:t>
      </w:r>
      <w:bookmarkStart w:id="0" w:name="_GoBack"/>
      <w:bookmarkEnd w:id="0"/>
      <w:r w:rsidRPr="005A0D58">
        <w:rPr>
          <w:sz w:val="22"/>
          <w:szCs w:val="22"/>
        </w:rPr>
        <w:t xml:space="preserve"> “La morte di Marat”.</w:t>
      </w:r>
    </w:p>
    <w:p w:rsidR="005A0D58" w:rsidRPr="005A0D58" w:rsidRDefault="005A0D58" w:rsidP="005A0D58">
      <w:pPr>
        <w:widowControl w:val="0"/>
        <w:autoSpaceDE w:val="0"/>
        <w:jc w:val="both"/>
        <w:rPr>
          <w:sz w:val="22"/>
          <w:szCs w:val="22"/>
        </w:rPr>
      </w:pPr>
    </w:p>
    <w:p w:rsidR="00E05132" w:rsidRDefault="00E05132">
      <w:pPr>
        <w:widowControl w:val="0"/>
        <w:tabs>
          <w:tab w:val="right" w:pos="9405"/>
        </w:tabs>
        <w:autoSpaceDE w:val="0"/>
        <w:ind w:right="232"/>
        <w:jc w:val="both"/>
        <w:rPr>
          <w:sz w:val="16"/>
          <w:szCs w:val="16"/>
        </w:rPr>
      </w:pPr>
    </w:p>
    <w:p w:rsidR="0033753E" w:rsidRDefault="0033753E" w:rsidP="0033753E">
      <w:pPr>
        <w:pStyle w:val="NormaleWeb"/>
        <w:spacing w:before="0" w:beforeAutospacing="0" w:after="240" w:afterAutospacing="0"/>
        <w:jc w:val="both"/>
      </w:pPr>
      <w:r>
        <w:rPr>
          <w:b/>
          <w:bCs/>
          <w:color w:val="000000"/>
        </w:rPr>
        <w:t>Modulo 4 L’età napoleonica </w:t>
      </w:r>
    </w:p>
    <w:p w:rsidR="0033753E" w:rsidRDefault="0033753E" w:rsidP="0033753E">
      <w:pPr>
        <w:pStyle w:val="NormaleWeb"/>
        <w:spacing w:before="0" w:beforeAutospacing="0" w:after="0" w:afterAutospacing="0"/>
        <w:ind w:left="708"/>
        <w:jc w:val="both"/>
      </w:pPr>
      <w:r>
        <w:rPr>
          <w:b/>
          <w:bCs/>
          <w:i/>
          <w:iCs/>
          <w:color w:val="000000"/>
          <w:sz w:val="22"/>
          <w:szCs w:val="22"/>
        </w:rPr>
        <w:t>L’impero e le guerre di Napoleone.</w:t>
      </w:r>
    </w:p>
    <w:p w:rsidR="0033753E" w:rsidRDefault="0033753E" w:rsidP="0033753E">
      <w:pPr>
        <w:pStyle w:val="NormaleWeb"/>
        <w:spacing w:before="0" w:beforeAutospacing="0" w:after="0" w:afterAutospacing="0"/>
        <w:ind w:left="708"/>
        <w:jc w:val="both"/>
      </w:pPr>
      <w:r>
        <w:rPr>
          <w:color w:val="000000"/>
          <w:sz w:val="22"/>
          <w:szCs w:val="22"/>
        </w:rPr>
        <w:t>Il contrasto con l’Inghilterra, il blocco continentale, la campagna di Russia, la sconfitta a Waterloo e il Congresso di Vienna.</w:t>
      </w:r>
    </w:p>
    <w:p w:rsidR="0033753E" w:rsidRDefault="0033753E" w:rsidP="0033753E">
      <w:pPr>
        <w:pStyle w:val="NormaleWeb"/>
        <w:spacing w:before="0" w:beforeAutospacing="0" w:after="0" w:afterAutospacing="0"/>
        <w:ind w:left="708"/>
        <w:jc w:val="both"/>
      </w:pPr>
      <w:r>
        <w:rPr>
          <w:color w:val="000000"/>
          <w:sz w:val="22"/>
          <w:szCs w:val="22"/>
        </w:rPr>
        <w:t>Conservazione e innovazione nell’Europa napoleonica: il Codice civile. </w:t>
      </w:r>
    </w:p>
    <w:p w:rsidR="0033753E" w:rsidRDefault="0033753E" w:rsidP="0033753E">
      <w:pPr>
        <w:pStyle w:val="NormaleWeb"/>
        <w:spacing w:before="0" w:beforeAutospacing="0" w:after="0" w:afterAutospacing="0"/>
        <w:ind w:left="708"/>
        <w:jc w:val="both"/>
      </w:pPr>
      <w:r>
        <w:rPr>
          <w:b/>
          <w:bCs/>
          <w:i/>
          <w:iCs/>
          <w:color w:val="000000"/>
          <w:sz w:val="22"/>
          <w:szCs w:val="22"/>
        </w:rPr>
        <w:t xml:space="preserve">L’esperienza delle “repubbliche sorelle” </w:t>
      </w:r>
      <w:r>
        <w:rPr>
          <w:color w:val="000000"/>
          <w:sz w:val="22"/>
          <w:szCs w:val="22"/>
        </w:rPr>
        <w:t>nella penisola italiana; il fallimento della repubblica partenopea e l’analisi di Vincenzo Cuoco (una “rivoluzione passiva”).</w:t>
      </w:r>
    </w:p>
    <w:p w:rsidR="00E05132" w:rsidRDefault="00E05132">
      <w:pPr>
        <w:widowControl w:val="0"/>
        <w:autoSpaceDE w:val="0"/>
        <w:spacing w:before="60"/>
        <w:jc w:val="both"/>
        <w:rPr>
          <w:sz w:val="22"/>
          <w:szCs w:val="22"/>
        </w:rPr>
      </w:pPr>
    </w:p>
    <w:p w:rsidR="00E05132" w:rsidRDefault="00E05132">
      <w:pPr>
        <w:widowControl w:val="0"/>
        <w:autoSpaceDE w:val="0"/>
        <w:spacing w:before="60"/>
        <w:jc w:val="both"/>
        <w:rPr>
          <w:sz w:val="22"/>
          <w:szCs w:val="22"/>
        </w:rPr>
      </w:pPr>
    </w:p>
    <w:p w:rsidR="00E05132" w:rsidRDefault="0027055A">
      <w:r>
        <w:t xml:space="preserve">Roma, </w:t>
      </w:r>
      <w:r w:rsidR="00E346D4">
        <w:t>05</w:t>
      </w:r>
      <w:r w:rsidR="00642919">
        <w:t>/</w:t>
      </w:r>
      <w:r w:rsidR="00E346D4">
        <w:t>06</w:t>
      </w:r>
      <w:r w:rsidR="00642919">
        <w:t>/202</w:t>
      </w:r>
      <w:r w:rsidR="00E346D4">
        <w:t>3</w:t>
      </w:r>
      <w:r w:rsidR="00E05132">
        <w:tab/>
      </w:r>
    </w:p>
    <w:p w:rsidR="00E05132" w:rsidRDefault="00E05132"/>
    <w:p w:rsidR="00E05132" w:rsidRPr="00642919" w:rsidRDefault="00E05132">
      <w:pPr>
        <w:widowControl w:val="0"/>
        <w:autoSpaceDE w:val="0"/>
        <w:spacing w:before="60"/>
        <w:jc w:val="both"/>
      </w:pPr>
      <w:r>
        <w:t>L’insegnante                                                                               Gli studenti</w:t>
      </w:r>
      <w:r>
        <w:tab/>
      </w:r>
    </w:p>
    <w:p w:rsidR="00E05132" w:rsidRDefault="00E05132">
      <w:pPr>
        <w:widowControl w:val="0"/>
        <w:autoSpaceDE w:val="0"/>
        <w:jc w:val="both"/>
        <w:rPr>
          <w:sz w:val="22"/>
          <w:szCs w:val="22"/>
        </w:rPr>
      </w:pPr>
    </w:p>
    <w:p w:rsidR="00691E33" w:rsidRDefault="00E05132" w:rsidP="00691E33">
      <w:pPr>
        <w:widowControl w:val="0"/>
        <w:autoSpaceDE w:val="0"/>
        <w:jc w:val="both"/>
      </w:pPr>
      <w:r>
        <w:rPr>
          <w:sz w:val="22"/>
          <w:szCs w:val="22"/>
        </w:rPr>
        <w:t xml:space="preserve">Carola Catenacci  </w:t>
      </w:r>
      <w:r w:rsidR="006E1E8C">
        <w:rPr>
          <w:sz w:val="22"/>
          <w:szCs w:val="22"/>
        </w:rPr>
        <w:t xml:space="preserve">                                                                           </w:t>
      </w:r>
    </w:p>
    <w:p w:rsidR="009065EC" w:rsidRDefault="009065EC">
      <w:pPr>
        <w:widowControl w:val="0"/>
        <w:autoSpaceDE w:val="0"/>
        <w:jc w:val="both"/>
      </w:pPr>
    </w:p>
    <w:sectPr w:rsidR="009065EC" w:rsidSect="00E067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62A" w:rsidRDefault="00D6562A" w:rsidP="005F6FF0">
      <w:r>
        <w:separator/>
      </w:r>
    </w:p>
  </w:endnote>
  <w:endnote w:type="continuationSeparator" w:id="0">
    <w:p w:rsidR="00D6562A" w:rsidRDefault="00D6562A" w:rsidP="005F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ACFFN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F0" w:rsidRDefault="005F6F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F0" w:rsidRDefault="005F6FF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F0" w:rsidRDefault="005F6F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62A" w:rsidRDefault="00D6562A" w:rsidP="005F6FF0">
      <w:r>
        <w:separator/>
      </w:r>
    </w:p>
  </w:footnote>
  <w:footnote w:type="continuationSeparator" w:id="0">
    <w:p w:rsidR="00D6562A" w:rsidRDefault="00D6562A" w:rsidP="005F6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F0" w:rsidRDefault="005F6FF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F0" w:rsidRDefault="005F6FF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F0" w:rsidRDefault="005F6FF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32"/>
    <w:rsid w:val="0000067D"/>
    <w:rsid w:val="00017ADB"/>
    <w:rsid w:val="000E099A"/>
    <w:rsid w:val="000E1E24"/>
    <w:rsid w:val="00124D24"/>
    <w:rsid w:val="00163BA0"/>
    <w:rsid w:val="001D1D28"/>
    <w:rsid w:val="001D7C1A"/>
    <w:rsid w:val="00225DF2"/>
    <w:rsid w:val="0027055A"/>
    <w:rsid w:val="002860B1"/>
    <w:rsid w:val="002D5351"/>
    <w:rsid w:val="00324C46"/>
    <w:rsid w:val="0033753E"/>
    <w:rsid w:val="00340CEC"/>
    <w:rsid w:val="003414FF"/>
    <w:rsid w:val="003A67D1"/>
    <w:rsid w:val="004157B4"/>
    <w:rsid w:val="00416172"/>
    <w:rsid w:val="004306B8"/>
    <w:rsid w:val="00445D7A"/>
    <w:rsid w:val="00465350"/>
    <w:rsid w:val="004671F9"/>
    <w:rsid w:val="004E6BE2"/>
    <w:rsid w:val="00503F26"/>
    <w:rsid w:val="005211BA"/>
    <w:rsid w:val="00522971"/>
    <w:rsid w:val="005A0D58"/>
    <w:rsid w:val="005D3853"/>
    <w:rsid w:val="005E130D"/>
    <w:rsid w:val="005F6FF0"/>
    <w:rsid w:val="00635B45"/>
    <w:rsid w:val="00642919"/>
    <w:rsid w:val="00691E33"/>
    <w:rsid w:val="006953BE"/>
    <w:rsid w:val="006B03C5"/>
    <w:rsid w:val="006D6B7E"/>
    <w:rsid w:val="006E1E8C"/>
    <w:rsid w:val="00751A3C"/>
    <w:rsid w:val="007772B6"/>
    <w:rsid w:val="007A595F"/>
    <w:rsid w:val="007B68AD"/>
    <w:rsid w:val="00852790"/>
    <w:rsid w:val="008732FE"/>
    <w:rsid w:val="00882C8D"/>
    <w:rsid w:val="00895038"/>
    <w:rsid w:val="008E5E8C"/>
    <w:rsid w:val="009065EC"/>
    <w:rsid w:val="00934174"/>
    <w:rsid w:val="00977DED"/>
    <w:rsid w:val="00A64EC9"/>
    <w:rsid w:val="00A728E4"/>
    <w:rsid w:val="00AC64FF"/>
    <w:rsid w:val="00B011CE"/>
    <w:rsid w:val="00B120DD"/>
    <w:rsid w:val="00B14391"/>
    <w:rsid w:val="00B42DDA"/>
    <w:rsid w:val="00B91827"/>
    <w:rsid w:val="00BB0254"/>
    <w:rsid w:val="00BB4A0E"/>
    <w:rsid w:val="00BD3839"/>
    <w:rsid w:val="00CD0EC6"/>
    <w:rsid w:val="00D04633"/>
    <w:rsid w:val="00D17144"/>
    <w:rsid w:val="00D24F55"/>
    <w:rsid w:val="00D4166D"/>
    <w:rsid w:val="00D50BE8"/>
    <w:rsid w:val="00D6562A"/>
    <w:rsid w:val="00D833EE"/>
    <w:rsid w:val="00DB113D"/>
    <w:rsid w:val="00E05132"/>
    <w:rsid w:val="00E067C4"/>
    <w:rsid w:val="00E220F8"/>
    <w:rsid w:val="00E346D4"/>
    <w:rsid w:val="00E94FA6"/>
    <w:rsid w:val="00EC5639"/>
    <w:rsid w:val="00ED7196"/>
    <w:rsid w:val="00EE4926"/>
    <w:rsid w:val="00EF729B"/>
    <w:rsid w:val="00FD4818"/>
    <w:rsid w:val="00FE508A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7C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E067C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Corpodeltesto1"/>
    <w:qFormat/>
    <w:rsid w:val="00E067C4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067C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067C4"/>
    <w:rPr>
      <w:rFonts w:ascii="Courier New" w:hAnsi="Courier New" w:cs="Courier New"/>
    </w:rPr>
  </w:style>
  <w:style w:type="character" w:customStyle="1" w:styleId="WW8Num1z2">
    <w:name w:val="WW8Num1z2"/>
    <w:rsid w:val="00E067C4"/>
    <w:rPr>
      <w:rFonts w:ascii="Wingdings" w:hAnsi="Wingdings" w:cs="Wingdings"/>
    </w:rPr>
  </w:style>
  <w:style w:type="character" w:customStyle="1" w:styleId="WW8Num1z3">
    <w:name w:val="WW8Num1z3"/>
    <w:rsid w:val="00E067C4"/>
    <w:rPr>
      <w:rFonts w:ascii="Symbol" w:hAnsi="Symbol" w:cs="Symbol"/>
    </w:rPr>
  </w:style>
  <w:style w:type="character" w:customStyle="1" w:styleId="WW8Num2z0">
    <w:name w:val="WW8Num2z0"/>
    <w:rsid w:val="00E067C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067C4"/>
    <w:rPr>
      <w:rFonts w:ascii="Courier New" w:hAnsi="Courier New" w:cs="Courier New"/>
    </w:rPr>
  </w:style>
  <w:style w:type="character" w:customStyle="1" w:styleId="WW8Num2z2">
    <w:name w:val="WW8Num2z2"/>
    <w:rsid w:val="00E067C4"/>
    <w:rPr>
      <w:rFonts w:ascii="Wingdings" w:hAnsi="Wingdings" w:cs="Wingdings"/>
    </w:rPr>
  </w:style>
  <w:style w:type="character" w:customStyle="1" w:styleId="WW8Num2z3">
    <w:name w:val="WW8Num2z3"/>
    <w:rsid w:val="00E067C4"/>
    <w:rPr>
      <w:rFonts w:ascii="Symbol" w:hAnsi="Symbol" w:cs="Symbol"/>
    </w:rPr>
  </w:style>
  <w:style w:type="character" w:customStyle="1" w:styleId="Carpredefinitoparagrafo1">
    <w:name w:val="Car. predefinito paragrafo1"/>
    <w:rsid w:val="00E067C4"/>
  </w:style>
  <w:style w:type="character" w:customStyle="1" w:styleId="mw-headline">
    <w:name w:val="mw-headline"/>
    <w:basedOn w:val="Carpredefinitoparagrafo1"/>
    <w:rsid w:val="00E067C4"/>
  </w:style>
  <w:style w:type="character" w:styleId="Collegamentoipertestuale">
    <w:name w:val="Hyperlink"/>
    <w:basedOn w:val="Carpredefinitoparagrafo1"/>
    <w:rsid w:val="00E067C4"/>
    <w:rPr>
      <w:color w:val="0000FF"/>
      <w:u w:val="single"/>
    </w:rPr>
  </w:style>
  <w:style w:type="paragraph" w:customStyle="1" w:styleId="Intestazione1">
    <w:name w:val="Intestazione1"/>
    <w:basedOn w:val="Normale"/>
    <w:next w:val="Corpodeltesto1"/>
    <w:rsid w:val="00E067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E067C4"/>
    <w:pPr>
      <w:spacing w:after="120"/>
    </w:pPr>
  </w:style>
  <w:style w:type="paragraph" w:styleId="Elenco">
    <w:name w:val="List"/>
    <w:basedOn w:val="Corpodeltesto1"/>
    <w:rsid w:val="00E067C4"/>
    <w:rPr>
      <w:rFonts w:cs="Mangal"/>
    </w:rPr>
  </w:style>
  <w:style w:type="paragraph" w:customStyle="1" w:styleId="Didascalia1">
    <w:name w:val="Didascalia1"/>
    <w:basedOn w:val="Normale"/>
    <w:rsid w:val="00E067C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067C4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E067C4"/>
    <w:pPr>
      <w:jc w:val="center"/>
    </w:pPr>
    <w:rPr>
      <w:b/>
      <w:bCs/>
    </w:rPr>
  </w:style>
  <w:style w:type="paragraph" w:styleId="Sottotitolo">
    <w:name w:val="Subtitle"/>
    <w:basedOn w:val="Normale"/>
    <w:next w:val="Corpodeltesto1"/>
    <w:qFormat/>
    <w:rsid w:val="00E067C4"/>
    <w:pPr>
      <w:jc w:val="both"/>
    </w:pPr>
    <w:rPr>
      <w:b/>
      <w:bCs/>
    </w:rPr>
  </w:style>
  <w:style w:type="paragraph" w:customStyle="1" w:styleId="Default">
    <w:name w:val="Default"/>
    <w:rsid w:val="00E067C4"/>
    <w:pPr>
      <w:suppressAutoHyphens/>
      <w:autoSpaceDE w:val="0"/>
    </w:pPr>
    <w:rPr>
      <w:rFonts w:ascii="HACFFN+TimesNewRoman" w:hAnsi="HACFFN+TimesNewRoman" w:cs="HACFFN+TimesNewRoman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5F6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6FF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5F6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F6FF0"/>
    <w:rPr>
      <w:sz w:val="24"/>
      <w:szCs w:val="24"/>
      <w:lang w:eastAsia="ar-SA"/>
    </w:rPr>
  </w:style>
  <w:style w:type="paragraph" w:styleId="Testodelblocco">
    <w:name w:val="Block Text"/>
    <w:basedOn w:val="Normale"/>
    <w:rsid w:val="00691E33"/>
    <w:pPr>
      <w:suppressAutoHyphens w:val="0"/>
      <w:autoSpaceDE w:val="0"/>
      <w:autoSpaceDN w:val="0"/>
      <w:ind w:left="284" w:right="-319" w:hanging="284"/>
    </w:pPr>
    <w:rPr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3753E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“ MORGAGNI ”</vt:lpstr>
    </vt:vector>
  </TitlesOfParts>
  <Company>HP Inc.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“ MORGAGNI ”</dc:title>
  <dc:creator>PROFCAT</dc:creator>
  <cp:lastModifiedBy>carola.catenacci</cp:lastModifiedBy>
  <cp:revision>3</cp:revision>
  <cp:lastPrinted>2013-06-10T08:09:00Z</cp:lastPrinted>
  <dcterms:created xsi:type="dcterms:W3CDTF">2023-06-05T11:51:00Z</dcterms:created>
  <dcterms:modified xsi:type="dcterms:W3CDTF">2023-06-05T11:53:00Z</dcterms:modified>
</cp:coreProperties>
</file>