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76DC" w:rsidRDefault="004B76DC">
      <w:pPr>
        <w:spacing w:after="160" w:line="259" w:lineRule="auto"/>
        <w:jc w:val="center"/>
        <w:rPr>
          <w:rFonts w:ascii="Calibri" w:eastAsia="Calibri" w:hAnsi="Calibri" w:cs="Calibri"/>
          <w:sz w:val="28"/>
          <w:szCs w:val="28"/>
        </w:rPr>
      </w:pPr>
      <w:bookmarkStart w:id="0" w:name="_j98elsb0xp4f" w:colFirst="0" w:colLast="0"/>
      <w:bookmarkEnd w:id="0"/>
    </w:p>
    <w:p w14:paraId="00000002" w14:textId="77777777" w:rsidR="004B76DC" w:rsidRDefault="00000000">
      <w:pPr>
        <w:spacing w:after="160" w:line="259" w:lineRule="auto"/>
        <w:jc w:val="center"/>
        <w:rPr>
          <w:rFonts w:ascii="Calibri" w:eastAsia="Calibri" w:hAnsi="Calibri" w:cs="Calibri"/>
          <w:sz w:val="28"/>
          <w:szCs w:val="28"/>
        </w:rPr>
      </w:pPr>
      <w:bookmarkStart w:id="1" w:name="_gjdgxs" w:colFirst="0" w:colLast="0"/>
      <w:bookmarkEnd w:id="1"/>
      <w:r>
        <w:rPr>
          <w:rFonts w:ascii="Calibri" w:eastAsia="Calibri" w:hAnsi="Calibri" w:cs="Calibri"/>
          <w:sz w:val="28"/>
          <w:szCs w:val="28"/>
        </w:rPr>
        <w:t>Liceo Scientifico “Morgagni”</w:t>
      </w:r>
    </w:p>
    <w:p w14:paraId="00000003" w14:textId="77777777" w:rsidR="004B76DC" w:rsidRDefault="00000000">
      <w:pPr>
        <w:spacing w:after="160" w:line="259" w:lineRule="auto"/>
        <w:jc w:val="center"/>
        <w:rPr>
          <w:rFonts w:ascii="Calibri" w:eastAsia="Calibri" w:hAnsi="Calibri" w:cs="Calibri"/>
          <w:sz w:val="28"/>
          <w:szCs w:val="28"/>
        </w:rPr>
      </w:pPr>
      <w:r>
        <w:rPr>
          <w:rFonts w:ascii="Calibri" w:eastAsia="Calibri" w:hAnsi="Calibri" w:cs="Calibri"/>
          <w:sz w:val="28"/>
          <w:szCs w:val="28"/>
        </w:rPr>
        <w:t>Anno Scolastico 2022/2023</w:t>
      </w:r>
    </w:p>
    <w:p w14:paraId="00000004" w14:textId="77777777" w:rsidR="004B76DC" w:rsidRDefault="00000000">
      <w:pPr>
        <w:spacing w:after="160" w:line="259" w:lineRule="auto"/>
        <w:jc w:val="center"/>
        <w:rPr>
          <w:rFonts w:ascii="Calibri" w:eastAsia="Calibri" w:hAnsi="Calibri" w:cs="Calibri"/>
          <w:sz w:val="28"/>
          <w:szCs w:val="28"/>
        </w:rPr>
      </w:pPr>
      <w:r>
        <w:rPr>
          <w:rFonts w:ascii="Calibri" w:eastAsia="Calibri" w:hAnsi="Calibri" w:cs="Calibri"/>
          <w:sz w:val="28"/>
          <w:szCs w:val="28"/>
        </w:rPr>
        <w:t>Insegnamento Religione Cattolica</w:t>
      </w:r>
    </w:p>
    <w:p w14:paraId="00000005" w14:textId="77777777" w:rsidR="004B76DC" w:rsidRDefault="00000000">
      <w:pPr>
        <w:spacing w:after="160" w:line="259" w:lineRule="auto"/>
        <w:jc w:val="center"/>
        <w:rPr>
          <w:rFonts w:ascii="Calibri" w:eastAsia="Calibri" w:hAnsi="Calibri" w:cs="Calibri"/>
          <w:sz w:val="24"/>
          <w:szCs w:val="24"/>
        </w:rPr>
      </w:pPr>
      <w:r>
        <w:rPr>
          <w:rFonts w:ascii="Calibri" w:eastAsia="Calibri" w:hAnsi="Calibri" w:cs="Calibri"/>
          <w:sz w:val="24"/>
          <w:szCs w:val="24"/>
        </w:rPr>
        <w:t>Prof. Forti Paolo</w:t>
      </w:r>
    </w:p>
    <w:p w14:paraId="00000006" w14:textId="77777777" w:rsidR="004B76DC" w:rsidRDefault="00000000">
      <w:pPr>
        <w:spacing w:after="160" w:line="259" w:lineRule="auto"/>
        <w:rPr>
          <w:rFonts w:ascii="Calibri" w:eastAsia="Calibri" w:hAnsi="Calibri" w:cs="Calibri"/>
          <w:b/>
        </w:rPr>
      </w:pPr>
      <w:bookmarkStart w:id="2" w:name="_30j0zll" w:colFirst="0" w:colLast="0"/>
      <w:bookmarkEnd w:id="2"/>
      <w:r>
        <w:rPr>
          <w:rFonts w:ascii="Calibri" w:eastAsia="Calibri" w:hAnsi="Calibri" w:cs="Calibri"/>
          <w:b/>
        </w:rPr>
        <w:t>Classe 1H</w:t>
      </w:r>
    </w:p>
    <w:p w14:paraId="00000007" w14:textId="77777777" w:rsidR="004B76DC" w:rsidRDefault="00000000">
      <w:pPr>
        <w:spacing w:after="160" w:line="259" w:lineRule="auto"/>
        <w:rPr>
          <w:rFonts w:ascii="Calibri" w:eastAsia="Calibri" w:hAnsi="Calibri" w:cs="Calibri"/>
          <w:b/>
        </w:rPr>
      </w:pPr>
      <w:bookmarkStart w:id="3" w:name="_1fob9te" w:colFirst="0" w:colLast="0"/>
      <w:bookmarkEnd w:id="3"/>
      <w:r>
        <w:rPr>
          <w:rFonts w:ascii="Calibri" w:eastAsia="Calibri" w:hAnsi="Calibri" w:cs="Calibri"/>
          <w:b/>
        </w:rPr>
        <w:t>Primo quadrimestre</w:t>
      </w:r>
    </w:p>
    <w:p w14:paraId="00000008" w14:textId="77777777" w:rsidR="004B76DC" w:rsidRDefault="00000000">
      <w:pPr>
        <w:spacing w:after="160" w:line="259" w:lineRule="auto"/>
        <w:rPr>
          <w:rFonts w:ascii="Calibri" w:eastAsia="Calibri" w:hAnsi="Calibri" w:cs="Calibri"/>
        </w:rPr>
      </w:pPr>
      <w:r>
        <w:rPr>
          <w:rFonts w:ascii="Calibri" w:eastAsia="Calibri" w:hAnsi="Calibri" w:cs="Calibri"/>
        </w:rPr>
        <w:t>L’uomo: l’animale che fa cultura e guarda le stelle (la trascendenza).</w:t>
      </w:r>
    </w:p>
    <w:p w14:paraId="00000009" w14:textId="77777777" w:rsidR="004B76DC" w:rsidRDefault="00000000">
      <w:pPr>
        <w:spacing w:after="160" w:line="259" w:lineRule="auto"/>
        <w:rPr>
          <w:rFonts w:ascii="Calibri" w:eastAsia="Calibri" w:hAnsi="Calibri" w:cs="Calibri"/>
        </w:rPr>
      </w:pPr>
      <w:r>
        <w:rPr>
          <w:rFonts w:ascii="Calibri" w:eastAsia="Calibri" w:hAnsi="Calibri" w:cs="Calibri"/>
        </w:rPr>
        <w:t>Le domande esistenziali nell’esistenza comune, con uno sguardo ravvicinato a quelle peculiari della sfera adolescenziale.</w:t>
      </w:r>
    </w:p>
    <w:p w14:paraId="0000000A" w14:textId="77777777" w:rsidR="004B76DC" w:rsidRDefault="00000000">
      <w:pPr>
        <w:spacing w:after="160" w:line="259" w:lineRule="auto"/>
        <w:rPr>
          <w:rFonts w:ascii="Calibri" w:eastAsia="Calibri" w:hAnsi="Calibri" w:cs="Calibri"/>
        </w:rPr>
      </w:pPr>
      <w:r>
        <w:rPr>
          <w:rFonts w:ascii="Calibri" w:eastAsia="Calibri" w:hAnsi="Calibri" w:cs="Calibri"/>
        </w:rPr>
        <w:t>Il sacro: l’uomo e l’esperienza della differenza.</w:t>
      </w:r>
    </w:p>
    <w:p w14:paraId="0000000B" w14:textId="77777777" w:rsidR="004B76DC" w:rsidRDefault="00000000">
      <w:pPr>
        <w:spacing w:after="160" w:line="259" w:lineRule="auto"/>
        <w:rPr>
          <w:rFonts w:ascii="Calibri" w:eastAsia="Calibri" w:hAnsi="Calibri" w:cs="Calibri"/>
        </w:rPr>
      </w:pPr>
      <w:r>
        <w:rPr>
          <w:rFonts w:ascii="Calibri" w:eastAsia="Calibri" w:hAnsi="Calibri" w:cs="Calibri"/>
        </w:rPr>
        <w:t>Il sacro nell’esperienza religiosa.</w:t>
      </w:r>
    </w:p>
    <w:p w14:paraId="0000000C" w14:textId="77777777" w:rsidR="004B76DC" w:rsidRDefault="00000000">
      <w:pPr>
        <w:spacing w:after="160" w:line="259" w:lineRule="auto"/>
        <w:rPr>
          <w:rFonts w:ascii="Calibri" w:eastAsia="Calibri" w:hAnsi="Calibri" w:cs="Calibri"/>
        </w:rPr>
      </w:pPr>
      <w:r>
        <w:rPr>
          <w:rFonts w:ascii="Calibri" w:eastAsia="Calibri" w:hAnsi="Calibri" w:cs="Calibri"/>
        </w:rPr>
        <w:t>L’uomo e la sua ricerca di senso, degli altri e dell’Altro.</w:t>
      </w:r>
    </w:p>
    <w:p w14:paraId="0000000D" w14:textId="77777777" w:rsidR="004B76DC" w:rsidRDefault="00000000">
      <w:pPr>
        <w:spacing w:after="160" w:line="259" w:lineRule="auto"/>
        <w:rPr>
          <w:rFonts w:ascii="Calibri" w:eastAsia="Calibri" w:hAnsi="Calibri" w:cs="Calibri"/>
        </w:rPr>
      </w:pPr>
      <w:r>
        <w:rPr>
          <w:rFonts w:ascii="Calibri" w:eastAsia="Calibri" w:hAnsi="Calibri" w:cs="Calibri"/>
        </w:rPr>
        <w:t>Le religioni antiche: uno sguardo alla realtà religiosa degli antichi popoli con particolare attenzione alle peculiarità della relazione umano-divino.</w:t>
      </w:r>
    </w:p>
    <w:p w14:paraId="0000000E" w14:textId="77777777" w:rsidR="004B76DC" w:rsidRDefault="00000000">
      <w:pPr>
        <w:spacing w:after="160" w:line="259" w:lineRule="auto"/>
        <w:rPr>
          <w:rFonts w:ascii="Calibri" w:eastAsia="Calibri" w:hAnsi="Calibri" w:cs="Calibri"/>
        </w:rPr>
      </w:pPr>
      <w:r>
        <w:rPr>
          <w:rFonts w:ascii="Calibri" w:eastAsia="Calibri" w:hAnsi="Calibri" w:cs="Calibri"/>
        </w:rPr>
        <w:t>La memoria: valenza esistenziale, religiosa sacramentale e storica.</w:t>
      </w:r>
    </w:p>
    <w:p w14:paraId="0000000F" w14:textId="77777777" w:rsidR="004B76DC" w:rsidRDefault="00000000">
      <w:pPr>
        <w:spacing w:after="160" w:line="259" w:lineRule="auto"/>
        <w:rPr>
          <w:rFonts w:ascii="Calibri" w:eastAsia="Calibri" w:hAnsi="Calibri" w:cs="Calibri"/>
          <w:b/>
        </w:rPr>
      </w:pPr>
      <w:bookmarkStart w:id="4" w:name="_3znysh7" w:colFirst="0" w:colLast="0"/>
      <w:bookmarkEnd w:id="4"/>
      <w:r>
        <w:rPr>
          <w:rFonts w:ascii="Calibri" w:eastAsia="Calibri" w:hAnsi="Calibri" w:cs="Calibri"/>
          <w:b/>
        </w:rPr>
        <w:t>Secondo quadrimestre</w:t>
      </w:r>
    </w:p>
    <w:p w14:paraId="00000010" w14:textId="77777777" w:rsidR="004B76DC" w:rsidRDefault="00000000">
      <w:pPr>
        <w:spacing w:after="160" w:line="259" w:lineRule="auto"/>
        <w:rPr>
          <w:rFonts w:ascii="Calibri" w:eastAsia="Calibri" w:hAnsi="Calibri" w:cs="Calibri"/>
        </w:rPr>
      </w:pPr>
      <w:r>
        <w:rPr>
          <w:rFonts w:ascii="Calibri" w:eastAsia="Calibri" w:hAnsi="Calibri" w:cs="Calibri"/>
        </w:rPr>
        <w:t>L’attinenza delle religioni circa la visione del tempo: concezione ciclica e lineare.</w:t>
      </w:r>
    </w:p>
    <w:p w14:paraId="00000011" w14:textId="77777777" w:rsidR="004B76DC" w:rsidRDefault="00000000">
      <w:pPr>
        <w:spacing w:after="160" w:line="259" w:lineRule="auto"/>
        <w:rPr>
          <w:rFonts w:ascii="Calibri" w:eastAsia="Calibri" w:hAnsi="Calibri" w:cs="Calibri"/>
        </w:rPr>
      </w:pPr>
      <w:r>
        <w:rPr>
          <w:rFonts w:ascii="Calibri" w:eastAsia="Calibri" w:hAnsi="Calibri" w:cs="Calibri"/>
        </w:rPr>
        <w:t>Uno sguardo alle religioni orientali, coerentemente con la loro concezione di tempo, di uomo e di senso della vita (Induismo; Buddhismo).</w:t>
      </w:r>
    </w:p>
    <w:p w14:paraId="00000012" w14:textId="77777777" w:rsidR="004B76DC" w:rsidRDefault="00000000">
      <w:pPr>
        <w:spacing w:after="160" w:line="259" w:lineRule="auto"/>
        <w:rPr>
          <w:rFonts w:ascii="Calibri" w:eastAsia="Calibri" w:hAnsi="Calibri" w:cs="Calibri"/>
        </w:rPr>
      </w:pPr>
      <w:r>
        <w:rPr>
          <w:rFonts w:ascii="Calibri" w:eastAsia="Calibri" w:hAnsi="Calibri" w:cs="Calibri"/>
        </w:rPr>
        <w:t>Il monoteismo: il ribaltamento di prospettiva, rispetto alle religioni antiche, testimoniato dalla religione ebraica.</w:t>
      </w:r>
    </w:p>
    <w:p w14:paraId="00000013" w14:textId="77777777" w:rsidR="004B76DC" w:rsidRDefault="00000000">
      <w:pPr>
        <w:spacing w:after="160" w:line="259" w:lineRule="auto"/>
        <w:rPr>
          <w:rFonts w:ascii="Calibri" w:eastAsia="Calibri" w:hAnsi="Calibri" w:cs="Calibri"/>
        </w:rPr>
      </w:pPr>
      <w:r>
        <w:rPr>
          <w:rFonts w:ascii="Calibri" w:eastAsia="Calibri" w:hAnsi="Calibri" w:cs="Calibri"/>
        </w:rPr>
        <w:t>Ricollocazione del concetto di tempo alla luce delle religioni: la visione ciclica tipica delle religioni naturali e orientali affiancato alla concezione lineare dei monoteismi.</w:t>
      </w:r>
    </w:p>
    <w:p w14:paraId="00000014" w14:textId="77777777" w:rsidR="004B76DC" w:rsidRDefault="00000000">
      <w:pPr>
        <w:spacing w:after="160" w:line="259" w:lineRule="auto"/>
        <w:rPr>
          <w:rFonts w:ascii="Calibri" w:eastAsia="Calibri" w:hAnsi="Calibri" w:cs="Calibri"/>
        </w:rPr>
      </w:pPr>
      <w:r>
        <w:rPr>
          <w:rFonts w:ascii="Calibri" w:eastAsia="Calibri" w:hAnsi="Calibri" w:cs="Calibri"/>
        </w:rPr>
        <w:t>La questione sulla verità: un dibattito sempre aperto tra Verità e verità.</w:t>
      </w:r>
    </w:p>
    <w:p w14:paraId="00000015" w14:textId="77777777" w:rsidR="004B76DC" w:rsidRDefault="00000000">
      <w:pPr>
        <w:spacing w:after="160" w:line="259" w:lineRule="auto"/>
        <w:rPr>
          <w:rFonts w:ascii="Calibri" w:eastAsia="Calibri" w:hAnsi="Calibri" w:cs="Calibri"/>
        </w:rPr>
      </w:pPr>
      <w:r>
        <w:rPr>
          <w:rFonts w:ascii="Calibri" w:eastAsia="Calibri" w:hAnsi="Calibri" w:cs="Calibri"/>
        </w:rPr>
        <w:t>La dimensione monoteista: la rivelazione, il principio unico, la volontà divina e l’orizzonte di senso testimoniato dai tre grandi monoteismi.</w:t>
      </w:r>
    </w:p>
    <w:p w14:paraId="00000016" w14:textId="77777777" w:rsidR="004B76DC" w:rsidRDefault="00000000">
      <w:pPr>
        <w:spacing w:after="160" w:line="259" w:lineRule="auto"/>
        <w:rPr>
          <w:rFonts w:ascii="Calibri" w:eastAsia="Calibri" w:hAnsi="Calibri" w:cs="Calibri"/>
        </w:rPr>
      </w:pPr>
      <w:r>
        <w:rPr>
          <w:rFonts w:ascii="Calibri" w:eastAsia="Calibri" w:hAnsi="Calibri" w:cs="Calibri"/>
        </w:rPr>
        <w:t>Le tappe principali della storia di Israele: chiamata di Abramo, la discendenza, la Terra Promessa, la schiavitù in Egitto, il cammino nel deserto, rientro nella Terra Promessa, i Re, la diaspora e il rientro in Terra Promessa.</w:t>
      </w:r>
    </w:p>
    <w:p w14:paraId="00000017" w14:textId="77777777" w:rsidR="004B76DC" w:rsidRDefault="00000000">
      <w:pPr>
        <w:spacing w:after="160" w:line="259" w:lineRule="auto"/>
        <w:rPr>
          <w:rFonts w:ascii="Calibri" w:eastAsia="Calibri" w:hAnsi="Calibri" w:cs="Calibri"/>
        </w:rPr>
      </w:pPr>
      <w:r>
        <w:rPr>
          <w:rFonts w:ascii="Calibri" w:eastAsia="Calibri" w:hAnsi="Calibri" w:cs="Calibri"/>
        </w:rPr>
        <w:t>Da dove veniamo: a partire dalle domande esistenziali, si racchiude tutto il percorso svolto attraverso l’analisi dei due testi di creazione del libro della Genesi per poter comprendere la visione monoteista, la sua portata veritativa, per giungere ad una corretta ermeneutica e ad un’apertura al dialogo.</w:t>
      </w:r>
    </w:p>
    <w:p w14:paraId="00000018" w14:textId="77777777" w:rsidR="004B76DC" w:rsidRDefault="004B76DC">
      <w:pPr>
        <w:spacing w:after="160" w:line="259" w:lineRule="auto"/>
        <w:rPr>
          <w:rFonts w:ascii="Calibri" w:eastAsia="Calibri" w:hAnsi="Calibri" w:cs="Calibri"/>
        </w:rPr>
      </w:pPr>
    </w:p>
    <w:sectPr w:rsidR="004B76DC">
      <w:pgSz w:w="11909" w:h="16834"/>
      <w:pgMar w:top="425"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DC"/>
    <w:rsid w:val="004B76DC"/>
    <w:rsid w:val="006F5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B1562-E89B-40F2-B2B2-C79ADD33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Paolo Forti</cp:lastModifiedBy>
  <cp:revision>3</cp:revision>
  <dcterms:created xsi:type="dcterms:W3CDTF">2023-06-09T12:11:00Z</dcterms:created>
  <dcterms:modified xsi:type="dcterms:W3CDTF">2023-06-09T12:11:00Z</dcterms:modified>
</cp:coreProperties>
</file>