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Liceo Scientifico Statale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‘Morgagni’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DELLA CLASSE 4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LATINO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Prof.ssa Elisabetta Farroni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in adozione: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Garbarino,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Luminis orae,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vol. 1 </w:t>
      </w:r>
      <w:r w:rsidDel="00000000" w:rsidR="00000000" w:rsidRPr="00000000">
        <w:rPr>
          <w:rFonts w:ascii="Arial" w:cs="Arial" w:eastAsia="Arial" w:hAnsi="Arial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accordo con le finalità, gli obiettivi generali e cognitivi, i metodi e i mezzi e i criteri di valutazione della disciplina stabiliti dal Dipartimento di Lettere di questo Istituto, il percorso didattico della classe 4H si è articolato attraverso lo svolgimento dei seguenti contenuti: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5" w:right="0" w:hanging="1985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La produzione letteraria dall’età di Cesare ad Augusto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Cicerone </w:t>
      </w:r>
    </w:p>
    <w:p w:rsidR="00000000" w:rsidDel="00000000" w:rsidP="00000000" w:rsidRDefault="00000000" w:rsidRPr="00000000" w14:paraId="0000001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opere filosofiche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(videolezione della prof. Garbarino su manuale)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Laelius</w:t>
      </w:r>
      <w:r w:rsidDel="00000000" w:rsidR="00000000" w:rsidRPr="00000000">
        <w:rPr>
          <w:rFonts w:ascii="Arial" w:cs="Arial" w:eastAsia="Arial" w:hAnsi="Arial"/>
          <w:rtl w:val="0"/>
        </w:rPr>
        <w:t xml:space="preserve">, 17-18, t23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Laelius</w:t>
      </w:r>
      <w:r w:rsidDel="00000000" w:rsidR="00000000" w:rsidRPr="00000000">
        <w:rPr>
          <w:rFonts w:ascii="Arial" w:cs="Arial" w:eastAsia="Arial" w:hAnsi="Arial"/>
          <w:rtl w:val="0"/>
        </w:rPr>
        <w:t xml:space="preserve">, 65-66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(laboratorio di analisi p. 339)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 orazioni e le opere retoriche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Verrem</w:t>
      </w:r>
      <w:r w:rsidDel="00000000" w:rsidR="00000000" w:rsidRPr="00000000">
        <w:rPr>
          <w:rFonts w:ascii="Arial" w:cs="Arial" w:eastAsia="Arial" w:hAnsi="Arial"/>
          <w:rtl w:val="0"/>
        </w:rPr>
        <w:t xml:space="preserve">: l’affermazione di un avvocato, il clima politico e i processi a Roma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(scheda di dititto p. 237)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Verrem,</w:t>
      </w:r>
      <w:r w:rsidDel="00000000" w:rsidR="00000000" w:rsidRPr="00000000">
        <w:rPr>
          <w:rFonts w:ascii="Arial" w:cs="Arial" w:eastAsia="Arial" w:hAnsi="Arial"/>
          <w:rtl w:val="0"/>
        </w:rPr>
        <w:t xml:space="preserve"> II, 4, 94 t2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De oratore</w:t>
      </w:r>
      <w:r w:rsidDel="00000000" w:rsidR="00000000" w:rsidRPr="00000000">
        <w:rPr>
          <w:rFonts w:ascii="Arial" w:cs="Arial" w:eastAsia="Arial" w:hAnsi="Arial"/>
          <w:rtl w:val="0"/>
        </w:rPr>
        <w:t xml:space="preserve">: qualità dell’oratore e le parti della retorica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1-2 (esordio) t3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17,18 (prosopopea)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analisi interattiva p. 202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Catilinaria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I, 32-33 (peroratio) t4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 politica culturale di Augusto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Divo Augusto di Cristoforo Gorno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Rapporto tra letterati e potere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Virgilio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Bucoliche,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I,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Bucoliche,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IV, (in italiano analisi)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Georgiche,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vv 118-146 (in italiano analisi)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Georgiche, </w:t>
      </w:r>
      <w:r w:rsidDel="00000000" w:rsidR="00000000" w:rsidRPr="00000000">
        <w:rPr>
          <w:rFonts w:ascii="Arial" w:cs="Arial" w:eastAsia="Arial" w:hAnsi="Arial"/>
          <w:rtl w:val="0"/>
        </w:rPr>
        <w:t xml:space="preserve">IV, vv. 485-527 (traduzione e analisi)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I, vv.1-11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II, vv. 1-233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(lettura contrastiva)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IV, vv. 296-319; vv. 330-345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VI, vv. 847-887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141.999999999999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Eneide, XII, vv. 410-449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Orazio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presentazione dell’autore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videolezione 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di M. Bettini </w:t>
      </w:r>
    </w:p>
    <w:p w:rsidR="00000000" w:rsidDel="00000000" w:rsidP="00000000" w:rsidRDefault="00000000" w:rsidRPr="00000000" w14:paraId="0000002F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Sermones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I, </w:t>
      </w:r>
      <w:r w:rsidDel="00000000" w:rsidR="00000000" w:rsidRPr="00000000">
        <w:rPr>
          <w:rFonts w:ascii="Arial" w:cs="Arial" w:eastAsia="Arial" w:hAnsi="Arial"/>
          <w:rtl w:val="0"/>
        </w:rPr>
        <w:t xml:space="preserve">1, vv. 1-26; (traduzione e analisi)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Sermones,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6, vv. 1-29; 45-64; 65-99 (in italiano)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Sermones,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II, 6, (</w:t>
      </w:r>
      <w:r w:rsidDel="00000000" w:rsidR="00000000" w:rsidRPr="00000000">
        <w:rPr>
          <w:rFonts w:ascii="Arial" w:cs="Arial" w:eastAsia="Arial" w:hAnsi="Arial"/>
          <w:rtl w:val="0"/>
        </w:rPr>
        <w:t xml:space="preserve">in italiano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63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I, 9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I, 11 (traduzione e analisi)</w:t>
      </w:r>
    </w:p>
    <w:p w:rsidR="00000000" w:rsidDel="00000000" w:rsidP="00000000" w:rsidRDefault="00000000" w:rsidRPr="00000000" w14:paraId="00000035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Odi, </w:t>
      </w:r>
      <w:r w:rsidDel="00000000" w:rsidR="00000000" w:rsidRPr="00000000">
        <w:rPr>
          <w:rFonts w:ascii="Arial" w:cs="Arial" w:eastAsia="Arial" w:hAnsi="Arial"/>
          <w:rtl w:val="0"/>
        </w:rPr>
        <w:t xml:space="preserve">II, 10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II, 14 (traduzione e analisi)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Odi,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III, </w:t>
      </w:r>
      <w:r w:rsidDel="00000000" w:rsidR="00000000" w:rsidRPr="00000000">
        <w:rPr>
          <w:rFonts w:ascii="Arial" w:cs="Arial" w:eastAsia="Arial" w:hAnsi="Arial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(traduzione e analisi)</w:t>
      </w:r>
    </w:p>
    <w:p w:rsidR="00000000" w:rsidDel="00000000" w:rsidP="00000000" w:rsidRDefault="00000000" w:rsidRPr="00000000" w14:paraId="00000039">
      <w:pPr>
        <w:ind w:left="633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5"/>
        </w:numPr>
        <w:ind w:left="141.73228346456688" w:firstLine="285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Epistulae,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I, 4 (passim in italiano)</w:t>
      </w:r>
    </w:p>
    <w:p w:rsidR="00000000" w:rsidDel="00000000" w:rsidP="00000000" w:rsidRDefault="00000000" w:rsidRPr="00000000" w14:paraId="0000003B">
      <w:pPr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Livio</w:t>
      </w:r>
    </w:p>
    <w:p w:rsidR="00000000" w:rsidDel="00000000" w:rsidP="00000000" w:rsidRDefault="00000000" w:rsidRPr="00000000" w14:paraId="0000003D">
      <w:pPr>
        <w:keepNext w:val="1"/>
        <w:keepLines w:val="1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 Urbe condita, praefatio,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(in traduzione) t1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 Urbe condita,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1 (in italiano) t3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 Urbe condita,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11, 5-9 (in italiano/latino) t4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Ab Urbe condita, </w:t>
      </w:r>
      <w:r w:rsidDel="00000000" w:rsidR="00000000" w:rsidRPr="00000000">
        <w:rPr>
          <w:rFonts w:ascii="Arial" w:cs="Arial" w:eastAsia="Arial" w:hAnsi="Arial"/>
          <w:rtl w:val="0"/>
        </w:rPr>
        <w:t xml:space="preserve">I, 25, 1-12 (in italiano/latino) t6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L’elegia romana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Properzio,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Tibullo)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Ovidio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Metamorfosi, I, vv. 1-20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in italiano/latino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Metamorfosi, I, vv.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525-567, Apollo e Dafne 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in italiano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Heroides, XVI, vv. 281-340; XVII, vv. 75-108; 175-188 </w:t>
      </w:r>
      <w:r w:rsidDel="00000000" w:rsidR="00000000" w:rsidRPr="00000000">
        <w:rPr>
          <w:rFonts w:ascii="Arial" w:cs="Arial" w:eastAsia="Arial" w:hAnsi="Arial"/>
          <w:rtl w:val="0"/>
        </w:rPr>
        <w:t xml:space="preserve">(in italiano)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294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Amores, I, 9 vv.1-46 (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traduzione e analisi)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Competenze linguistiche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Ripasso e verifica della morfologia del nome e del verbo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Funzioni del nome e del verbo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strutture sintattiche fondamentali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più comuni proposizioni subordinate esplicite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Uso dei tempi verbali: le proposizioni subordinate implicite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Metrica: l’esametro e il distico elegiaco,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principali figure di suono, di posizione e di significato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L’insegnante                                                                                 Gli alunni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cs="Arial" w:eastAsia="Arial" w:hAnsi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cs="Arial" w:eastAsia="Arial" w:hAnsi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360" w:firstLine="0"/>
      </w:pPr>
      <w:rPr>
        <w:u w:val="none"/>
      </w:rPr>
    </w:lvl>
    <w:lvl w:ilvl="1">
      <w:start w:val="1"/>
      <w:numFmt w:val="bullet"/>
      <w:lvlText w:val="⮚"/>
      <w:lvlJc w:val="left"/>
      <w:pPr>
        <w:ind w:left="633" w:firstLine="360"/>
      </w:pPr>
      <w:rPr>
        <w:u w:val="none"/>
      </w:rPr>
    </w:lvl>
    <w:lvl w:ilvl="2">
      <w:start w:val="1"/>
      <w:numFmt w:val="bullet"/>
      <w:lvlText w:val="▪"/>
      <w:lvlJc w:val="left"/>
      <w:pPr>
        <w:ind w:left="1080" w:firstLine="720"/>
      </w:pPr>
      <w:rPr>
        <w:u w:val="none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u w:val="none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u w:val="none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u w:val="none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720" w:right="0" w:hanging="432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864" w:right="0" w:hanging="144.0000000000000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432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15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720" w:right="0" w:hanging="432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864" w:right="0" w:hanging="144.00000000000006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432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15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rsid w:val="00C82947"/>
    <w:pPr>
      <w:keepNext w:val="1"/>
      <w:keepLines w:val="1"/>
      <w:jc w:val="both"/>
      <w:outlineLvl w:val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Titolo2">
    <w:name w:val="heading 2"/>
    <w:basedOn w:val="Normale1"/>
    <w:next w:val="Normale1"/>
    <w:rsid w:val="00C82947"/>
    <w:pPr>
      <w:keepNext w:val="1"/>
      <w:keepLines w:val="1"/>
      <w:spacing w:after="60" w:before="240"/>
      <w:outlineLvl w:val="1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Titolo3">
    <w:name w:val="heading 3"/>
    <w:basedOn w:val="Normale1"/>
    <w:next w:val="Normale1"/>
    <w:rsid w:val="00C82947"/>
    <w:pPr>
      <w:keepNext w:val="1"/>
      <w:keepLines w:val="1"/>
      <w:spacing w:after="60" w:before="240"/>
      <w:ind w:left="720" w:hanging="432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itolo4">
    <w:name w:val="heading 4"/>
    <w:basedOn w:val="Normale1"/>
    <w:next w:val="Normale1"/>
    <w:rsid w:val="00C82947"/>
    <w:pPr>
      <w:keepNext w:val="1"/>
      <w:keepLines w:val="1"/>
      <w:spacing w:after="60" w:before="240"/>
      <w:ind w:left="864" w:hanging="144"/>
      <w:outlineLvl w:val="3"/>
    </w:pPr>
    <w:rPr>
      <w:b w:val="1"/>
      <w:sz w:val="28"/>
      <w:szCs w:val="28"/>
    </w:rPr>
  </w:style>
  <w:style w:type="paragraph" w:styleId="Titolo5">
    <w:name w:val="heading 5"/>
    <w:basedOn w:val="Normale1"/>
    <w:next w:val="Normale1"/>
    <w:rsid w:val="00C82947"/>
    <w:pPr>
      <w:keepNext w:val="1"/>
      <w:keepLines w:val="1"/>
      <w:spacing w:after="60" w:before="240"/>
      <w:ind w:left="1008" w:hanging="432"/>
      <w:outlineLvl w:val="4"/>
    </w:pPr>
    <w:rPr>
      <w:b w:val="1"/>
      <w:i w:val="1"/>
      <w:sz w:val="26"/>
      <w:szCs w:val="26"/>
    </w:rPr>
  </w:style>
  <w:style w:type="paragraph" w:styleId="Titolo6">
    <w:name w:val="heading 6"/>
    <w:basedOn w:val="Normale1"/>
    <w:next w:val="Normale1"/>
    <w:rsid w:val="00C82947"/>
    <w:pPr>
      <w:keepNext w:val="1"/>
      <w:keepLines w:val="1"/>
      <w:spacing w:after="60" w:before="240"/>
      <w:ind w:left="1152" w:hanging="432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C82947"/>
  </w:style>
  <w:style w:type="table" w:styleId="TableNormal" w:customStyle="1">
    <w:name w:val="Table Normal"/>
    <w:rsid w:val="00C8294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rsid w:val="00C82947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ottotitolo">
    <w:name w:val="Subtitle"/>
    <w:basedOn w:val="Normale1"/>
    <w:next w:val="Normale1"/>
    <w:rsid w:val="00C82947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dnW7DQURQnM&amp;ab_channel=Capitolivm" TargetMode="External"/><Relationship Id="rId8" Type="http://schemas.openxmlformats.org/officeDocument/2006/relationships/hyperlink" Target="https://campus.hubscuola.it/discipline-umanistiche-2/latino/r-orazio-vita-e-opere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15mXEcUfw+V/2iHvuFmpkafKQ==">CgMxLjA4AHIhMVlNZjRabkhTZjZvMmRia1JwclJwaU5kTXU1ZXlnd3lv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2016-06-09T19:04:00Z</dcterms:created>
</cp:coreProperties>
</file>