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Liceo Scientifico Statale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‘Morgagni’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Roma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Disciplina: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ITALIANO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PROGRAMMA DELLA CLASSE 4H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A.S. 2022-23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Docente: Elisabetta Farroni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Testi in adozione: Testi di riferimento: R. Carnero, G. Iannaccone, Vola alta parola, GIUNTI T.V.P. editori , vol. 3-4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Divina Commedia, a cura di S. Jacomuzzi, A. Dughera, G. Ioli, V. Jacomuzzi, Sei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 accordo con le finalità, gli obiettivi generali e cognitivi, i metodi, i mezzi e i criteri di valutazione della disciplina, stabiliti dal Dipartimento di Lettere di questo Istituto, il percorso didattico della classe 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si è articolato attraverso lo svolgimento dei seguenti contenuti: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L’età della controriforma: follia e inquietudine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contesto storico-sociale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L’Anticlassicismo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manierismo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Accademie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Torquato Tasso: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Qual rugiada o qual pianto,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Donna, il bel vetro tondo,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Lunge da voi, mio core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l'Aminta: amore e letteratura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303030"/>
          <w:sz w:val="20"/>
          <w:szCs w:val="20"/>
          <w:highlight w:val="white"/>
          <w:rtl w:val="0"/>
        </w:rPr>
        <w:t xml:space="preserve">La Gerusalemme liberata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,  il poema delle contraddizioni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Tancredi e Clorinda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Focus: il mito dell'età dell'oro come </w:t>
      </w:r>
      <w:r w:rsidDel="00000000" w:rsidR="00000000" w:rsidRPr="00000000">
        <w:rPr>
          <w:rFonts w:ascii="Arial" w:cs="Arial" w:eastAsia="Arial" w:hAnsi="Arial"/>
          <w:i w:val="1"/>
          <w:color w:val="303030"/>
          <w:sz w:val="20"/>
          <w:szCs w:val="20"/>
          <w:highlight w:val="white"/>
          <w:rtl w:val="0"/>
        </w:rPr>
        <w:t xml:space="preserve">locus amoenus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Il Barocco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Caratteri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Intellettuali e potere nel Seicento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Trasformazione del rapporto tra l’artista e il pubblico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metafora come strumento conoscitivo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Giovan Battista Marino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Adone, c. X, ott. 37-45  e 136-39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Galileo Galilei: </w:t>
      </w:r>
      <w:r w:rsidDel="00000000" w:rsidR="00000000" w:rsidRPr="00000000">
        <w:rPr>
          <w:rFonts w:ascii="Arial" w:cs="Arial" w:eastAsia="Arial" w:hAnsi="Arial"/>
          <w:b w:val="1"/>
          <w:color w:val="303030"/>
          <w:sz w:val="20"/>
          <w:szCs w:val="20"/>
          <w:highlight w:val="white"/>
          <w:rtl w:val="0"/>
        </w:rPr>
        <w:t xml:space="preserve">la visione scientifica della realtà e la centralità dell’esperienza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Sidereus Nuncius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Il libro dell’universo 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Il Saggiatore)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L’invenzione del cannocchiale (Lettera a Leonardo Donato)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Un mondo di carta 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dal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Dialogo sopra i due massimi sistemi del mondo, tolemaico e     copernicano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metafora del mondo come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36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L’opera Don Chischiotte: la nascita del romanzo moderno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Miguel Cervantes, </w:t>
      </w:r>
      <w:r w:rsidDel="00000000" w:rsidR="00000000" w:rsidRPr="00000000">
        <w:rPr>
          <w:rFonts w:ascii="Arial" w:cs="Arial" w:eastAsia="Arial" w:hAnsi="Arial"/>
          <w:i w:val="1"/>
          <w:color w:val="303030"/>
          <w:sz w:val="20"/>
          <w:szCs w:val="20"/>
          <w:highlight w:val="white"/>
          <w:rtl w:val="0"/>
        </w:rPr>
        <w:t xml:space="preserve">Don Chisciotte all’osteria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jc w:val="both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La morte di don Chischiotte</w:t>
      </w:r>
    </w:p>
    <w:p w:rsidR="00000000" w:rsidDel="00000000" w:rsidP="00000000" w:rsidRDefault="00000000" w:rsidRPr="00000000" w14:paraId="00000032">
      <w:pPr>
        <w:spacing w:after="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Focus: 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L'eredità del </w:t>
      </w:r>
      <w:r w:rsidDel="00000000" w:rsidR="00000000" w:rsidRPr="00000000">
        <w:rPr>
          <w:rFonts w:ascii="Arial" w:cs="Arial" w:eastAsia="Arial" w:hAnsi="Arial"/>
          <w:i w:val="1"/>
          <w:color w:val="303030"/>
          <w:sz w:val="20"/>
          <w:szCs w:val="20"/>
          <w:highlight w:val="white"/>
          <w:rtl w:val="0"/>
        </w:rPr>
        <w:t xml:space="preserve">Chisciotte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 nel cinema e nella canzone di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F.Guccini</w:t>
      </w:r>
    </w:p>
    <w:p w:rsidR="00000000" w:rsidDel="00000000" w:rsidP="00000000" w:rsidRDefault="00000000" w:rsidRPr="00000000" w14:paraId="00000034">
      <w:pPr>
        <w:spacing w:after="0" w:lineRule="auto"/>
        <w:ind w:left="360" w:firstLine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crisi delle coscienze alla fine del Seicento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razionalismo cartesiano, l’empirismo di Locke, l’apporto di Newton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  <w:b w:val="1"/>
          <w:color w:val="303030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Caratteri generali dell’Illuminismo e il ruolo dell’Arcadia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generi letterari più rappresentativi del modello culturale illuminista: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left" w:leader="none" w:pos="1134"/>
        </w:tabs>
        <w:spacing w:after="0" w:lineRule="auto"/>
        <w:ind w:left="1418" w:hanging="73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Saggistica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left" w:leader="none" w:pos="1134"/>
        </w:tabs>
        <w:spacing w:after="0" w:lineRule="auto"/>
        <w:ind w:left="1418" w:hanging="73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giornalismo d’opinione</w:t>
      </w:r>
    </w:p>
    <w:p w:rsidR="00000000" w:rsidDel="00000000" w:rsidP="00000000" w:rsidRDefault="00000000" w:rsidRPr="00000000" w14:paraId="0000003C">
      <w:pPr>
        <w:tabs>
          <w:tab w:val="left" w:leader="none" w:pos="1134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</w:tabs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Focus: </w:t>
      </w:r>
      <w:r w:rsidDel="00000000" w:rsidR="00000000" w:rsidRPr="00000000">
        <w:rPr>
          <w:rFonts w:ascii="Verdana" w:cs="Verdana" w:eastAsia="Verdana" w:hAnsi="Verdana"/>
          <w:color w:val="303030"/>
          <w:sz w:val="20"/>
          <w:szCs w:val="20"/>
          <w:highlight w:val="white"/>
          <w:rtl w:val="0"/>
        </w:rPr>
        <w:t xml:space="preserve">Kant, il coraggio di sapere; il ruolo dei philosophes e l'Enciclopedia.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Pietro Verri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L’introduzione de “Il caffè”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Carlo Goldoni e la Riforma del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La sfida di Mirandolina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La locanderia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30"/>
          <w:sz w:val="20"/>
          <w:szCs w:val="20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Giuseppe 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Odi, La salubrità dell’aria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Il giorno, 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vv. 1-75; 92-184; 645-97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La caduta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Vittorio Alfieri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Rime, Sublime specchio di veraci detti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Saul, La morte di Saul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Mirra, La confessione di Mirra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1"/>
          <w:color w:val="303030"/>
          <w:sz w:val="20"/>
          <w:szCs w:val="20"/>
          <w:highlight w:val="white"/>
          <w:rtl w:val="0"/>
        </w:rPr>
        <w:t xml:space="preserve">a Vita di Vittorio Alfieri da Asti scritta da esso stesso: Alle origini di un’indole impetuosa, Le tappe di un viaggiatore in fuga dal mondo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Tra Neoclassicismo e preromanticismo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Ugo Foscolo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Ultime lettere di Jacopo Ortis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passim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Autoritratto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 Zacinto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Alla sera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In morte del fratello Giovanni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36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 Sepolcri, proemio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Caratteri del Romanticismo europeo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Il dibattito tra Romantici e Classicisti in Italia. La posizione di Leopardi e di Manzoni.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dibattito sull’utilità delle traduzioni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questione della lingua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poesia dialettale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G.G. Belli</w:t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spacing w:after="0" w:lineRule="auto"/>
        <w:ind w:left="720" w:hanging="36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Er  giorno der giudizzio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0" w:lineRule="auto"/>
        <w:ind w:left="720" w:hanging="36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Er caffettiere fisolofo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0" w:lineRule="auto"/>
        <w:ind w:left="720" w:hanging="36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Er deserto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Alessandro Manzoni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temi e i personaggi de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 promessi sposi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 morte di Carlo Imbonati (vv 165-215)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Il cinque maggio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Dante Alighieri,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Commedia, Purgatorio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Purgatorio: struttura, nascita e significato del secondo regno.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Lettura dei canti: I; II; III; V; VI; VIII; XI; XVI;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13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13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Attività di promozione alla lettura “Preferisco leggere-Incontro con l’autore”: lettura del romanzo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Trema la notte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N. Terranova e incontro con l’autrice</w:t>
      </w:r>
    </w:p>
    <w:p w:rsidR="00000000" w:rsidDel="00000000" w:rsidP="00000000" w:rsidRDefault="00000000" w:rsidRPr="00000000" w14:paraId="0000006C">
      <w:pPr>
        <w:tabs>
          <w:tab w:val="left" w:leader="none" w:pos="1134"/>
        </w:tabs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Lezione-Spettacolo sulla Commedia dell’arte a cura dell’Ass culturale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La lanterna immaginaria</w:t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1"/>
        <w:gridCol w:w="4857"/>
        <w:tblGridChange w:id="0">
          <w:tblGrid>
            <w:gridCol w:w="4781"/>
            <w:gridCol w:w="4857"/>
          </w:tblGrid>
        </w:tblGridChange>
      </w:tblGrid>
      <w:tr>
        <w:trPr>
          <w:cantSplit w:val="0"/>
          <w:trHeight w:val="996.914062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1134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1134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1134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Gli alunni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1134"/>
              </w:tabs>
              <w:ind w:left="219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134"/>
              </w:tabs>
              <w:ind w:left="219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134"/>
              </w:tabs>
              <w:ind w:left="219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L’insegnante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134"/>
              </w:tabs>
              <w:ind w:left="219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Elisabetta Farroni</w:t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➢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A105DF"/>
    <w:pPr>
      <w:keepNext w:val="1"/>
      <w:spacing w:after="0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rsid w:val="00A105DF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A105DF"/>
    <w:pPr>
      <w:ind w:left="720"/>
      <w:contextualSpacing w:val="1"/>
    </w:pPr>
  </w:style>
  <w:style w:type="paragraph" w:styleId="Corpotesto">
    <w:name w:val="Body Text"/>
    <w:basedOn w:val="Normale"/>
    <w:link w:val="CorpotestoCarattere"/>
    <w:rsid w:val="00A105DF"/>
    <w:pPr>
      <w:spacing w:after="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A105DF"/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Carpredefinitoparagrafo"/>
    <w:rsid w:val="00EF38F3"/>
  </w:style>
  <w:style w:type="table" w:styleId="Grigliatabella">
    <w:name w:val="Table Grid"/>
    <w:basedOn w:val="Tabellanormale"/>
    <w:uiPriority w:val="59"/>
    <w:rsid w:val="008F56A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1" w:customStyle="1">
    <w:name w:val="Normale1"/>
    <w:rsid w:val="007B0797"/>
    <w:pPr>
      <w:spacing w:after="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4wU6r2NvQTkn+r/PIjat+gknoA==">CgMxLjA4AHIhMW4xQVNQUFNlaTZSM2NmQlpjYnZPSkd0ZWl5d0NtcHFJ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2023-06-03T11:13:00Z</dcterms:created>
  <dc:creator>francesca.piras</dc:creator>
</cp:coreProperties>
</file>