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Liceo Scientifico Morgagni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Classe 3 sez. 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a.s. 202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Programma di Latino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Insegnante Elisabetta Farroni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Testo in adozione Giovanna Garbarino, “Luminis orae”, vol. 1A e 1B, Paravia</w:t>
      </w:r>
    </w:p>
    <w:p w:rsidR="00000000" w:rsidDel="00000000" w:rsidP="00000000" w:rsidRDefault="00000000" w:rsidRPr="00000000" w14:paraId="00000009">
      <w:pPr>
        <w:spacing w:after="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Pepe, M. Vilardo, Grammatica Picta, vol.2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accordo con le finalità, gli obiettivi generali e cognitivi, i metodi e i mezzi e i criteri di valutazione della disciplina, stabiliti dal Dipartimento di Lettere di questo Istituto, il percorso didattico della classe 3 H si è articolato attraverso lo svolgimento dei seguenti contenuti: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 attestazioni del latino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testi ritualistici, religiosi, giuridici, celebrativi delle origini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Poesia e prosa nella Roma arcaica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forme spettacolari dell’età arcaica: Fescennini; Satura; Atellana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tragedia e la commedia a Roma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L’epos e la tradizione ellenistica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storiografia e l’oratoria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Livio Andronico, l’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Odusia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Nevio,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Bellum Poenicum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Ennio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Annales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teatro plautino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corpus</w:t>
      </w:r>
      <w:r w:rsidDel="00000000" w:rsidR="00000000" w:rsidRPr="00000000">
        <w:rPr>
          <w:rFonts w:ascii="Arial" w:cs="Arial" w:eastAsia="Arial" w:hAnsi="Arial"/>
          <w:rtl w:val="0"/>
        </w:rPr>
        <w:t xml:space="preserve"> delle commedie: i titoli e le trame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commedie del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servus callidus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commedia di carattere, la beffa, la commedia degli equivoci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rapporti con i modelli greci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stile e la lingua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teatro come gioco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Pseudolus</w:t>
      </w:r>
      <w:r w:rsidDel="00000000" w:rsidR="00000000" w:rsidRPr="00000000">
        <w:rPr>
          <w:rFonts w:ascii="Arial" w:cs="Arial" w:eastAsia="Arial" w:hAnsi="Arial"/>
          <w:rtl w:val="0"/>
        </w:rPr>
        <w:t xml:space="preserve">, vv. 394-405; 562-594 (in traduzione)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Aulularia, vv. 79-119; 178-267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Menaechmi</w:t>
      </w:r>
      <w:r w:rsidDel="00000000" w:rsidR="00000000" w:rsidRPr="00000000">
        <w:rPr>
          <w:rFonts w:ascii="Arial" w:cs="Arial" w:eastAsia="Arial" w:hAnsi="Arial"/>
          <w:rtl w:val="0"/>
        </w:rPr>
        <w:t xml:space="preserve">, visione dello spettacolo del teatro plautino di Sarsina tramite link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Terenzio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Heautontimorumenos, vv. 53-80 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Heautontimorumenos, vv. 81-168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traduzione)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Heautontimorumenos, vv. 915-934 </w:t>
      </w:r>
      <w:r w:rsidDel="00000000" w:rsidR="00000000" w:rsidRPr="00000000">
        <w:rPr>
          <w:rFonts w:ascii="Arial" w:cs="Arial" w:eastAsia="Arial" w:hAnsi="Arial"/>
          <w:rtl w:val="0"/>
        </w:rPr>
        <w:t xml:space="preserve">(latino/italiano)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Lucilio e la satira</w:t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L’età di Cesare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Quadro storico-culturale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Epicureismo e stoicismo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Poetae Novi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Catullo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c.2,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Passer, deliciae meae puellae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 latino)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Vivamus, mea Lesbia, atque amemus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13,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Cenabis bene, mi Fabulle, apud me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 latino)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72,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Dicebas quondam solum te nosse Catullum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75,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Huc est mens deducta tua, mea lesbia, culpa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85,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Odi et amo</w:t>
      </w:r>
      <w:r w:rsidDel="00000000" w:rsidR="00000000" w:rsidRPr="00000000">
        <w:rPr>
          <w:rFonts w:ascii="Arial" w:cs="Arial" w:eastAsia="Arial" w:hAnsi="Arial"/>
          <w:rtl w:val="0"/>
        </w:rPr>
        <w:t xml:space="preserve"> (in latino)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101,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Multas per gentes</w:t>
      </w:r>
      <w:r w:rsidDel="00000000" w:rsidR="00000000" w:rsidRPr="00000000">
        <w:rPr>
          <w:rFonts w:ascii="Arial" w:cs="Arial" w:eastAsia="Arial" w:hAnsi="Arial"/>
          <w:rtl w:val="0"/>
        </w:rPr>
        <w:t xml:space="preserve"> …(in latino)</w:t>
      </w:r>
    </w:p>
    <w:p w:rsidR="00000000" w:rsidDel="00000000" w:rsidP="00000000" w:rsidRDefault="00000000" w:rsidRPr="00000000" w14:paraId="00000039">
      <w:pPr>
        <w:spacing w:after="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Cesare, i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Commentarii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Bello Gallico: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divisione topografica della Gallia, I, 1-7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fazioni politiche, VI, 11, 1-5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classi sociali, VI, 13. 1-11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religiosità dei Galli, VI, 16, 1-5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latino/italiano)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divinità dei Galli, VI, 17 1-5;18,1-2 (in latino)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Sui Germani,VI 21, 22, 23 (in traduzione)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Alesia, VII, 69 (in latino)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proposta di Critognato, VII, 77, 12-16 (in latino)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Sallustio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Catilinae coniuratione:  </w:t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Proemio, 1-4  </w:t>
      </w:r>
      <w:r w:rsidDel="00000000" w:rsidR="00000000" w:rsidRPr="00000000">
        <w:rPr>
          <w:rFonts w:ascii="Arial" w:cs="Arial" w:eastAsia="Arial" w:hAnsi="Arial"/>
          <w:rtl w:val="0"/>
        </w:rPr>
        <w:t xml:space="preserve">(latino/italiano);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L’attività storiografica, 3-4  (latino/italiano);</w:t>
      </w:r>
    </w:p>
    <w:p w:rsidR="00000000" w:rsidDel="00000000" w:rsidP="00000000" w:rsidRDefault="00000000" w:rsidRPr="00000000" w14:paraId="00000049">
      <w:pPr>
        <w:spacing w:after="0" w:lineRule="auto"/>
        <w:ind w:left="0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0" w:firstLine="0"/>
        <w:rPr>
          <w:rFonts w:ascii="Arial" w:cs="Arial" w:eastAsia="Arial" w:hAnsi="Arial"/>
        </w:rPr>
      </w:pPr>
      <w:bookmarkStart w:colFirst="0" w:colLast="0" w:name="_heading=h.qbo71ssw963b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Cenni di prosodia e metrica: l’esametro</w:t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Lucrezio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rerum natura,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Inno a Venere, I, vv. 1-20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latino)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La dedica a Memmio 21-61 (in traduzione) 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Elogio di Epicuro, I, vv. 62-79 (in latino)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La difficoltà del compito di Lucrezio, I, vv 136-148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La funzione della poesia, I, 921-950 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clinàmen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e il libero arbitrio dell'uomo,II, vv. 216-229 ; 259-262</w:t>
      </w:r>
    </w:p>
    <w:p w:rsidR="00000000" w:rsidDel="00000000" w:rsidP="00000000" w:rsidRDefault="00000000" w:rsidRPr="00000000" w14:paraId="00000054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Competenze linguistiche: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Ripasso e verifica della morfologia del nome e del verbo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Funzioni del nome e del verbo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strutture sintattiche fondamentali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più comuni proposizioni subordinate esplicite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Uso dei tempi verbali: le proposizioni subordinate implicite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coniugazioni perifrastiche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funzioni dei casi: nominativo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Gli alunni                                                                                    L’insegnante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­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PEEy8FGbjsZKsf8aDa1CvpvoQw==">AMUW2mX1zadj0xX6wvRwQUjLPGMdk3fJ/l65Spmm9gNoq2ss6WA8v767BEqxWG/Mojk0ep/3zQKt143YoNywYsb3nc2v5R180Xjs3/GYW+eiQkGJuccAKAesG+J3WwtDDAwfz5pqL+mY10j8trmwmYRUNllJp7UTjQ==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Utente Windows</dc:creator>
</cp:coreProperties>
</file>