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Liceo Scientifico Statale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‘Morgagni’ </w:t>
      </w:r>
      <w:r w:rsidDel="00000000" w:rsidR="00000000" w:rsidRPr="00000000">
        <w:rPr>
          <w:rFonts w:ascii="Arial" w:cs="Arial" w:eastAsia="Arial" w:hAnsi="Arial"/>
          <w:rtl w:val="0"/>
        </w:rPr>
        <w:t xml:space="preserve">di Roma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Disciplina: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ITALIANO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PROGRAMMA DELLA CLASSE 4H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A.S. 2021-22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Docente: Elisabetta Farroni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Testi in adozione: Testi di riferimento: R. Carnero, G. Iannaccone, Vola alta parola, GIUNTI T.V.P. editori , vol. 3-4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Divina Commedia, a cura di S. Jacomuzzi, A. Dughera, G. Ioli, V. Jacomuzzi, Sei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accordo con le finalità, gli obiettivi generali e cognitivi, i metodi, i mezzi e i criteri di valutazione della disciplina, stabiliti dal Dipartimento di Lettere di questo Istituto, il percorso didattico della classe 4</w:t>
      </w:r>
      <w:r w:rsidDel="00000000" w:rsidR="00000000" w:rsidRPr="00000000">
        <w:rPr>
          <w:rFonts w:ascii="Arial" w:cs="Arial" w:eastAsia="Arial" w:hAnsi="Arial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 è articolato attraverso lo svolgimento dei seguenti contenuti: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L’età della controriforma: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follia e inquietudine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contesto storico-sociale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L’Anticlassicismo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manierismo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Accademie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Torquato Tasso: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 rugiada o qual pianto,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Donna, il bel vetro tondo,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Lunge da voi, mio core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l'Aminta: amore e letteratura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La Gerusalemme liberata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,  il poema delle contraddizioni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Tancredi e Clorinda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Focus: il mito dell'età dell'oro come </w:t>
      </w: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locus amoenus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Il barocco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Caratteri generali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Intellettuali e potere nel Seicento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Trasformazione del rapporto tra l’artista e il pubblico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metafora come strumento conoscitivo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Giovan Battista Marino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Adone, c. X, ott. 37-45  e 136-39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Galileo Galilei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la visione scientifica della realtà e la centralità dell’esperienza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Sidereus Nuncius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libro dell’universo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Saggiatore)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L’invenzione del cannocchiale (Lettera a Leonardo Donato)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mondo di carta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Dialogo sopra i due massimi sistemi del mondo, tolemaico e     copernicano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1985" w:firstLine="0"/>
        <w:jc w:val="both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1985" w:firstLine="0"/>
        <w:jc w:val="both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La metafora del mondo come 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L’opera Don Chischiotte: la nascita del romanzo moderno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Miguel Cervantes,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Don Chisciotte all’osteria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La morte di don Chischiotte</w:t>
      </w:r>
    </w:p>
    <w:p w:rsidR="00000000" w:rsidDel="00000000" w:rsidP="00000000" w:rsidRDefault="00000000" w:rsidRPr="00000000" w14:paraId="00000036">
      <w:pPr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Focus: 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L'eredità del </w:t>
      </w: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Chisciotte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 nel cinema e nella canzone di </w:t>
      </w:r>
      <w:r w:rsidDel="00000000" w:rsidR="00000000" w:rsidRPr="00000000">
        <w:rPr>
          <w:rFonts w:ascii="Arial" w:cs="Arial" w:eastAsia="Arial" w:hAnsi="Arial"/>
          <w:rtl w:val="0"/>
        </w:rPr>
        <w:t xml:space="preserve">F.Guccini</w:t>
      </w:r>
    </w:p>
    <w:p w:rsidR="00000000" w:rsidDel="00000000" w:rsidP="00000000" w:rsidRDefault="00000000" w:rsidRPr="00000000" w14:paraId="00000038">
      <w:pPr>
        <w:spacing w:after="0" w:line="240" w:lineRule="auto"/>
        <w:ind w:left="36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La crisi delle coscienze alla fine del Seicento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razionalismo cartesiano, l’empirismo di Locke, l’apporto di Newton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  <w:b w:val="1"/>
          <w:color w:val="30303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Caratteri generali dell’Illuminismo e il ruolo dell’Arcadia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generi letterari più rappresentativi del modello culturale illuminista:</w:t>
      </w:r>
    </w:p>
    <w:p w:rsidR="00000000" w:rsidDel="00000000" w:rsidP="00000000" w:rsidRDefault="00000000" w:rsidRPr="00000000" w14:paraId="0000003E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1418" w:hanging="73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Saggistica</w:t>
      </w:r>
    </w:p>
    <w:p w:rsidR="00000000" w:rsidDel="00000000" w:rsidP="00000000" w:rsidRDefault="00000000" w:rsidRPr="00000000" w14:paraId="0000003F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1418" w:hanging="73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giornalismo d’opinione</w:t>
      </w:r>
    </w:p>
    <w:p w:rsidR="00000000" w:rsidDel="00000000" w:rsidP="00000000" w:rsidRDefault="00000000" w:rsidRPr="00000000" w14:paraId="00000040">
      <w:pPr>
        <w:tabs>
          <w:tab w:val="left" w:pos="1134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1134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Focus: </w:t>
      </w:r>
      <w:r w:rsidDel="00000000" w:rsidR="00000000" w:rsidRPr="00000000">
        <w:rPr>
          <w:rFonts w:ascii="Verdana" w:cs="Verdana" w:eastAsia="Verdana" w:hAnsi="Verdana"/>
          <w:color w:val="303030"/>
          <w:highlight w:val="white"/>
          <w:rtl w:val="0"/>
        </w:rPr>
        <w:t xml:space="preserve">Kant, il coraggio di sapere; il ruolo dei philosophes e l'Enciclopedia.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Pietro Verri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425.19685039370086" w:hanging="425.19685039370086"/>
        <w:jc w:val="both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L’introduzione de “Il caffè”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Carlo Goldoni e la Riforma del 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La sfida di Mirandolina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La locanderia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Giuseppe Parini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Odi, La salubrità dell’aria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rFonts w:ascii="Arial" w:cs="Arial" w:eastAsia="Arial" w:hAnsi="Arial"/>
          <w:b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giorno,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vv. 1-75; 92-184; 645-97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caduta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Vittorio Alfieri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Rime, Sublime specchio di veraci detti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Saul, La morte di Saul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Mirra, La confessione di Mirra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a Vita di Vittorio Alfieri da Asti scritta da esso stesso: Alle origini di un’indole impetuosa, Le tappe di un viaggiatore in fuga dal mondo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Tra Neoclassicismo e preromanticismo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Ugo Foscolo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Ultime lettere di Jacopo Ortis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(lettura integrale)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Autoritratto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Zacinto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sera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morte del fratello Giovanni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Sepolcri, proemio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Caratteri del Romanticismo europeo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Il dibattito tra Romantici e Classicisti in Italia. La posizione di Leopardi e di Manzoni.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dibattito sull’utilità delle traduzioni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questione della lingua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Alessandro Manzoni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 morte di Carlo Imbonati (vv 165-215)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temi e i personaggi de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promessi sposi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Dante Alighieri,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Commedia, Purgatorio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Purgatorio: struttura, nascita e significato del secondo regno.</w:t>
      </w:r>
    </w:p>
    <w:p w:rsidR="00000000" w:rsidDel="00000000" w:rsidP="00000000" w:rsidRDefault="00000000" w:rsidRPr="00000000" w14:paraId="00000067">
      <w:pPr>
        <w:spacing w:after="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Lettura dei canti: I; II; III; V; VI; VIII; XI; XVI;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Lezione concerto sull’evoluzione del “recitar cantando” tra ‘600 e ‘700”</w:t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Lettura dei romanzi editi da NNE nell’ambito del PCTO “Di lavoro leggo”</w:t>
      </w:r>
    </w:p>
    <w:p w:rsidR="00000000" w:rsidDel="00000000" w:rsidP="00000000" w:rsidRDefault="00000000" w:rsidRPr="00000000" w14:paraId="0000006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Kent Haruf, Canto della pianura</w:t>
      </w:r>
    </w:p>
    <w:p w:rsidR="00000000" w:rsidDel="00000000" w:rsidP="00000000" w:rsidRDefault="00000000" w:rsidRPr="00000000" w14:paraId="0000006C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Jesmyn Ward, Sotto la falce</w:t>
      </w:r>
    </w:p>
    <w:p w:rsidR="00000000" w:rsidDel="00000000" w:rsidP="00000000" w:rsidRDefault="00000000" w:rsidRPr="00000000" w14:paraId="0000006D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James Poissant, Il paradiso degli animali</w:t>
      </w:r>
    </w:p>
    <w:p w:rsidR="00000000" w:rsidDel="00000000" w:rsidP="00000000" w:rsidRDefault="00000000" w:rsidRPr="00000000" w14:paraId="0000006E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Bryan Washington, Promesse</w:t>
      </w:r>
    </w:p>
    <w:p w:rsidR="00000000" w:rsidDel="00000000" w:rsidP="00000000" w:rsidRDefault="00000000" w:rsidRPr="00000000" w14:paraId="0000006F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John Woods, Lady Chevy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113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63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1"/>
        <w:gridCol w:w="4857"/>
        <w:tblGridChange w:id="0">
          <w:tblGrid>
            <w:gridCol w:w="4781"/>
            <w:gridCol w:w="48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tabs>
                <w:tab w:val="left" w:pos="1134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Gli alunni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1134"/>
              </w:tabs>
              <w:ind w:left="219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L’insegnante</w:t>
            </w:r>
          </w:p>
          <w:p w:rsidR="00000000" w:rsidDel="00000000" w:rsidP="00000000" w:rsidRDefault="00000000" w:rsidRPr="00000000" w14:paraId="00000074">
            <w:pPr>
              <w:tabs>
                <w:tab w:val="left" w:pos="1134"/>
              </w:tabs>
              <w:ind w:left="219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Elisabetta Farroni</w:t>
            </w:r>
          </w:p>
        </w:tc>
      </w:tr>
    </w:tbl>
    <w:p w:rsidR="00000000" w:rsidDel="00000000" w:rsidP="00000000" w:rsidRDefault="00000000" w:rsidRPr="00000000" w14:paraId="00000075">
      <w:pPr>
        <w:tabs>
          <w:tab w:val="left" w:pos="113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qFormat w:val="1"/>
    <w:rsid w:val="00A105DF"/>
    <w:pPr>
      <w:keepNext w:val="1"/>
      <w:spacing w:after="0" w:line="240" w:lineRule="auto"/>
      <w:jc w:val="both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rsid w:val="00A105DF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A105DF"/>
    <w:pPr>
      <w:ind w:left="720"/>
      <w:contextualSpacing w:val="1"/>
    </w:pPr>
  </w:style>
  <w:style w:type="paragraph" w:styleId="Corpotesto">
    <w:name w:val="Body Text"/>
    <w:basedOn w:val="Normale"/>
    <w:link w:val="CorpotestoCarattere"/>
    <w:rsid w:val="00A105DF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rsid w:val="00A105DF"/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basedOn w:val="Carpredefinitoparagrafo"/>
    <w:rsid w:val="00EF38F3"/>
  </w:style>
  <w:style w:type="table" w:styleId="Grigliatabella">
    <w:name w:val="Table Grid"/>
    <w:basedOn w:val="Tabellanormale"/>
    <w:uiPriority w:val="59"/>
    <w:rsid w:val="008F56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1" w:customStyle="1">
    <w:name w:val="Normale1"/>
    <w:rsid w:val="007B0797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8AdDq9KuNHsbNx0PnuPELQs0Q==">AMUW2mWOJgWYXGSgwpJJYvj46QhDkeoLD47Jo45TSENOqBRwodeIapM/MQi5ftnEKL0wjM1eRT+yphnAzMU7bUVJjJA/Yjc4T84pM1ZbN1ZXLPZ9AsA/L3E=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2022-05-29T14:55:00Z</dcterms:created>
  <dc:creator>francesca.piras</dc:creator>
</cp:coreProperties>
</file>