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Liceo Scientifico Statale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‘Morgagni’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Roma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PROGRAMMA DELLA CLASSE 2 H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A.S. 2021-22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Disciplina 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ITALIANO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: Prof.ssa Elisabetta Farroni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Testi in adozione: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G. Iannaccone, M. Novelli, L’emozione della Lettura, Epica - Poesia e teatro,  Giunti TVP.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M. Sensini, ConMetodo, A. Mondadori Scuola.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G. Iannaccone, M. Novelli, L’emozione di un classico: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I Promessi Spos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i. Percorsi di lettura.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accordo con gli obiettivi formativi e cognitivi, con i metodi e i mezzi, con gli strumenti e i criteri di valutazione stabiliti dal Dipartimento di Lettere di questo Istituto, il percorso didattico della classe 2H si è articolato attraverso lo svolgimento dei seguenti contenuti.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ANALISI DEL TESTO POETICO: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– genere: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Percorso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“La parola scavata”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poesia secondo i poeti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interviste ai poeti Giorgio Caproni, Giuseppe Ungaretti, Eugenio Montale (video)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alcune sequenze filmiche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postino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rottura della tradizione poetica a partire dal Romanticismo: analisi del fenomeno. La poesia francese dei poeti maledetti e quella italiana degli Scapigliati.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origini della poesia e la Scuola siciliana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– metodi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“Acquisizione di tecniche di decodifica del testo poetico”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del significante e piano del significato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Linguaggio denotativo e linguaggio connotativo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versificazione italiana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Tipi di rime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strofe e i componimenti metrici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figure retoriche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Proposte metodologiche di analisi del testo poetico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Testi: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Baudelaire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L’albatro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Palazzeschi, Chi sono?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G.Ungaretti, Veglia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G.Ungaretti,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Martino del Carso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 Rodari,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Promemoria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De Luca,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G. Pascoli, X agosto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Pascoli,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Temporale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V. Magrelli,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Ecce video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P. Valduga,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cuore sanguina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 Carducci,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san Martino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Montale,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Meriggiare pallido e assorto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di Morra,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Ecco ch’un’altra volta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 de André,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guerra di Piero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 Pessoa,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Autopsicografia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S. Quasimodo,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Alle fronde dei salici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 genere: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“L’epica classica”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di recupero Iliade e Odissea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attraverso la trattazione delle specificità del genere e dei contenuti fondanti dei due Poemi 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L’Eneide: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Contestualizzazione storico-letteraria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proemio, L I, vv. 1-33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cavallo di legno e l’ultima notte di Troia, Laocoonte, L. II, vv. 1-56, 199-267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fuga sofferta e un l’addio, L II, vv. 699-794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Didone innamorata, L. IV, vv. 1-89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partenza di Enea e una morte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teatrale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 IV, vv. 642-705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discesa agli Inferi, L VI, vv. 679-759; 788-807; 87-853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Eurialo e Niso, L. IX, vv. 314-449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TESTO TEATRALE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Modulo-genere/metodi: “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La specificità del testo teatrale come prodotto letterario destinato alla rappresentazione spettacolare”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teatro classico greco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tragedia e la commedia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unità aristoteliche e il valore catartico della tragedia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commedia dell’arte e la riforma goldoniana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dramma moderno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Elementi strutturali del testo teatrale: a) divisione in scene ed atti; b) didascalie; c) tecniche di rappresentazione delle parole dei personaggi (dialoghi, battute, monologhi, a parte); d) il linguaggio performativo e l’uso dei deittici</w:t>
      </w:r>
    </w:p>
    <w:p w:rsidR="00000000" w:rsidDel="00000000" w:rsidP="00000000" w:rsidRDefault="00000000" w:rsidRPr="00000000" w14:paraId="00000048">
      <w:pPr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color w:val="30303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color w:val="30303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Moliere, da </w:t>
      </w: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L’avaro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, atto I, scena III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color w:val="30303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Pirandello, da </w:t>
      </w: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Così è se vi pare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,  “Io sono colei che mi si crede!”  pag 452 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color w:val="30303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  <w:color w:val="30303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03030"/>
          <w:sz w:val="22"/>
          <w:szCs w:val="22"/>
          <w:highlight w:val="white"/>
          <w:rtl w:val="0"/>
        </w:rPr>
        <w:t xml:space="preserve">Esperienze dirette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566.9291338582675" w:hanging="566.9291338582675"/>
        <w:jc w:val="both"/>
        <w:rPr>
          <w:rFonts w:ascii="Arial" w:cs="Arial" w:eastAsia="Arial" w:hAnsi="Arial"/>
          <w:color w:val="303030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Visone della tragedia </w:t>
      </w: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Antigone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 presso il Teatro Vittoria, a cura della compagnia plautina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566.9291338582675" w:hanging="566.9291338582675"/>
        <w:jc w:val="both"/>
        <w:rPr>
          <w:rFonts w:ascii="Arial" w:cs="Arial" w:eastAsia="Arial" w:hAnsi="Arial"/>
          <w:color w:val="303030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Visione dello spettacolo </w:t>
      </w: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Terra mia-Ritagli di storia,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 presso il teatro Ghione, a cura dell’ Associazione Danzarmonia Academy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566.9291338582675" w:hanging="566.9291338582675"/>
        <w:jc w:val="both"/>
        <w:rPr>
          <w:rFonts w:ascii="Arial" w:cs="Arial" w:eastAsia="Arial" w:hAnsi="Arial"/>
          <w:color w:val="303030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Ve lo faccio vedere io ora il teatro;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visita guidata performativa condotte da attori nei luoghi più significativi del Teatro Argentina.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ROMANZO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Modulo-genere: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“Il romanzo storico”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Modulo-opera: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“I Promessi Sposi”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Contestualizzazione e analisi testuale dei capitoli: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II, III, IV, (V-VI), VII, IX-X, XI, XII-XIII, XIV, (XV-XIX) XVII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XX-XXI), XXXI, (dal XXXI lettura autonoma dello studente).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Alcuni capitoli sono stati sintetizzati, altri letti in forma antologica anche con l’ausilio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di alcune scene tratte dallo sceneggiato del 1989, disponibile su RaiPlay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del romanzo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signore delle mosche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W. Golding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TESTUALI. ANALISI E PRODUZIONE: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riassunto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L’esposizione / La relazione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scrittura documentata/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testo argomentativo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scheda di lettura di un romanzo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scheda di analisi di un testo poetico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 ORIGINI DELLA LETTERATURA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lingue romanze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letteratura cortese-cavalleresca: 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Chanson de Roland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morte di Orlando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lasse 170-175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C. de Troyes,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notte d’amore di Lancillotto e Ginevra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poesia trobadorica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Scuola Siciliana: G. da Lentini,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Amor è uno desio che ven da core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poesia religiosa di San Francesco,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Cantico delle creature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alunni</w:t>
        <w:tab/>
        <w:tab/>
        <w:tab/>
        <w:tab/>
        <w:tab/>
        <w:tab/>
        <w:tab/>
        <w:tab/>
        <w:t xml:space="preserve">L’insegnante</w:t>
      </w:r>
    </w:p>
    <w:sectPr>
      <w:pgSz w:h="16838" w:w="11906" w:orient="portrait"/>
      <w:pgMar w:bottom="851" w:top="851" w:left="156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­"/>
      <w:lvlJc w:val="left"/>
      <w:pPr>
        <w:ind w:left="142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­"/>
      <w:lvlJc w:val="left"/>
      <w:pPr>
        <w:ind w:left="142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C01D3"/>
    <w:rPr>
      <w:sz w:val="24"/>
      <w:szCs w:val="24"/>
    </w:rPr>
  </w:style>
  <w:style w:type="paragraph" w:styleId="Titolo1">
    <w:name w:val="heading 1"/>
    <w:basedOn w:val="Normale"/>
    <w:next w:val="Normale"/>
    <w:qFormat w:val="1"/>
    <w:rsid w:val="00FC01D3"/>
    <w:pPr>
      <w:keepNext w:val="1"/>
      <w:jc w:val="both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qFormat w:val="1"/>
    <w:rsid w:val="00FC01D3"/>
    <w:pPr>
      <w:keepNext w:val="1"/>
      <w:jc w:val="both"/>
      <w:outlineLvl w:val="1"/>
    </w:pPr>
    <w:rPr>
      <w:b w:val="1"/>
      <w:bCs w:val="1"/>
      <w:u w:val="single"/>
    </w:rPr>
  </w:style>
  <w:style w:type="paragraph" w:styleId="Titolo3">
    <w:name w:val="heading 3"/>
    <w:basedOn w:val="Normale"/>
    <w:next w:val="Normale"/>
    <w:qFormat w:val="1"/>
    <w:rsid w:val="00FC01D3"/>
    <w:pPr>
      <w:keepNext w:val="1"/>
      <w:outlineLvl w:val="2"/>
    </w:pPr>
    <w:rPr>
      <w:b w:val="1"/>
      <w:bCs w:val="1"/>
      <w:u w:val="single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FC01D3"/>
    <w:pPr>
      <w:jc w:val="both"/>
    </w:pPr>
  </w:style>
  <w:style w:type="paragraph" w:styleId="Corpodeltesto2">
    <w:name w:val="Body Text 2"/>
    <w:basedOn w:val="Normale"/>
    <w:rsid w:val="00FC01D3"/>
    <w:pPr>
      <w:jc w:val="both"/>
    </w:pPr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F248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jLkY0TBZ9pkbSApVHdJGxQN7Q==">AMUW2mUQbJqpoQ8lzOUFgvpnNdK5hQkOS4zeIO2935anZGXRhElQ3wdZaVrYxJ9579QlxoOPBCvwA98A4Uuk6QMiJ72QaiqBaAC/WSsDMkWkogoRQ7WCfS8=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2020-06-01T18:35:00Z</dcterms:created>
  <dc:creator>Piras</dc:creator>
</cp:coreProperties>
</file>