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714B" w14:textId="0243B2F7" w:rsidR="00E521D4" w:rsidRDefault="00E521D4" w:rsidP="00E521D4">
      <w:pPr>
        <w:pStyle w:val="Titolo"/>
      </w:pPr>
      <w:r>
        <w:t>LICEO SCIENTIFICO MORGAGNI – ANNO SCOLASTICO 2021-2022</w:t>
      </w:r>
    </w:p>
    <w:p w14:paraId="6E06176B" w14:textId="77777777" w:rsidR="00E521D4" w:rsidRDefault="00E521D4" w:rsidP="00E521D4">
      <w:pPr>
        <w:pStyle w:val="Titolo"/>
      </w:pPr>
    </w:p>
    <w:p w14:paraId="7ABD6784" w14:textId="77777777" w:rsidR="00E521D4" w:rsidRDefault="00E521D4" w:rsidP="00E521D4">
      <w:pPr>
        <w:pStyle w:val="Titolo"/>
        <w:tabs>
          <w:tab w:val="left" w:pos="720"/>
        </w:tabs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PROF. GIULIANO LEONI – PROGRAMMA DI FILOSOFIA CLASSE IV B</w:t>
      </w:r>
    </w:p>
    <w:p w14:paraId="4F3938B3" w14:textId="77777777" w:rsidR="00E521D4" w:rsidRDefault="00E521D4" w:rsidP="00E521D4">
      <w:pPr>
        <w:pStyle w:val="Sottotitolo"/>
        <w:tabs>
          <w:tab w:val="left" w:pos="720"/>
        </w:tabs>
        <w:rPr>
          <w:rFonts w:eastAsia="Times New Roman"/>
          <w:sz w:val="24"/>
          <w:szCs w:val="24"/>
          <w:lang w:eastAsia="ar-SA"/>
        </w:rPr>
      </w:pPr>
    </w:p>
    <w:p w14:paraId="0C009E76" w14:textId="37F844DA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Il neoplatonismo: l’attività dell’Uno; le ipostasi; il ritorno all’Uno.</w:t>
      </w:r>
    </w:p>
    <w:p w14:paraId="7E901446" w14:textId="1C628E7A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nascita della filosofia cristiana. Agostino. Il rapporto tra fede e ragione; la dottrina dell’anima e il rapporto fra uomo e Dio; volontà, amore e peccato; grazia e libero arbitrio.</w:t>
      </w:r>
    </w:p>
    <w:p w14:paraId="7866BBDC" w14:textId="77777777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Scolastica: caratteri generali.</w:t>
      </w:r>
    </w:p>
    <w:p w14:paraId="1841DFA2" w14:textId="77777777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Anselmo d’Aosta. Il rapporto tra fede e ragione e le prove dell’esistenza di Dio. </w:t>
      </w:r>
    </w:p>
    <w:p w14:paraId="322D154E" w14:textId="300B2E34" w:rsidR="00E521D4" w:rsidRPr="008A69B1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Le cinque vie di Tommaso d’Aquino per la dimostrazione dell’esistenza di Dio. </w:t>
      </w:r>
    </w:p>
    <w:p w14:paraId="069727CF" w14:textId="77777777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L’età umanistico-rinascimentale: il quadro storico-filosofico; il neoplatonismo tra '400 e '500.</w:t>
      </w:r>
    </w:p>
    <w:p w14:paraId="6FDED4D6" w14:textId="77777777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Nicolò Cusano, precursore di Copernico e Bruno. </w:t>
      </w:r>
    </w:p>
    <w:p w14:paraId="52980F20" w14:textId="77777777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Pico della Mirandola e la </w:t>
      </w:r>
      <w:r>
        <w:rPr>
          <w:rFonts w:eastAsia="Times New Roman"/>
          <w:b w:val="0"/>
          <w:bCs w:val="0"/>
          <w:i/>
          <w:iCs/>
          <w:lang w:eastAsia="ar-SA"/>
        </w:rPr>
        <w:t>Oratio de hominis dignitate</w:t>
      </w:r>
      <w:r>
        <w:rPr>
          <w:rFonts w:eastAsia="Times New Roman"/>
          <w:b w:val="0"/>
          <w:bCs w:val="0"/>
          <w:lang w:eastAsia="ar-SA"/>
        </w:rPr>
        <w:t xml:space="preserve">. </w:t>
      </w:r>
    </w:p>
    <w:p w14:paraId="2E89225B" w14:textId="77777777" w:rsidR="00E521D4" w:rsidRDefault="00E521D4" w:rsidP="00E521D4">
      <w:pPr>
        <w:pStyle w:val="Sottotitolo"/>
        <w:numPr>
          <w:ilvl w:val="0"/>
          <w:numId w:val="1"/>
        </w:numPr>
        <w:spacing w:before="120" w:after="100" w:afterAutospacing="1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ar-SA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ar-SA"/>
        </w:rPr>
        <w:t>La magia naturale</w:t>
      </w:r>
    </w:p>
    <w:p w14:paraId="5DF7CDD4" w14:textId="77777777" w:rsidR="00E521D4" w:rsidRDefault="00E521D4" w:rsidP="00E521D4">
      <w:pPr>
        <w:pStyle w:val="Corpotesto"/>
        <w:numPr>
          <w:ilvl w:val="0"/>
          <w:numId w:val="1"/>
        </w:numPr>
        <w:spacing w:before="120" w:after="100" w:afterAutospacing="1"/>
        <w:rPr>
          <w:lang w:eastAsia="ar-SA"/>
        </w:rPr>
      </w:pPr>
      <w:r>
        <w:rPr>
          <w:rFonts w:eastAsia="Times New Roman"/>
          <w:lang w:eastAsia="ar-SA"/>
        </w:rPr>
        <w:t>Il pensiero di Giordano Bruno fra Rinascimento e scienza moderna.</w:t>
      </w:r>
    </w:p>
    <w:p w14:paraId="06A036E1" w14:textId="77777777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La rivoluzione astronomica: Copernico, Brahe e Keplero. </w:t>
      </w:r>
    </w:p>
    <w:p w14:paraId="4B6608B0" w14:textId="77777777" w:rsid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>La rivoluzione scientifica. Galileo Galiei scienziato e filosofo. La definitiva separazione fra scienza e fede; gli esperimenti mentali e i momenti del metodo scientifico; induzione e deduzione; sensata esperienza e necessarie dimostrazioni. Il processo.</w:t>
      </w:r>
    </w:p>
    <w:p w14:paraId="330410A0" w14:textId="706352D8" w:rsidR="00E521D4" w:rsidRPr="00E521D4" w:rsidRDefault="00E521D4" w:rsidP="00E521D4">
      <w:pPr>
        <w:pStyle w:val="Titol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Cartesio: la scoperta del soggetto. Il dubbio e il </w:t>
      </w:r>
      <w:r>
        <w:rPr>
          <w:rFonts w:eastAsia="Times New Roman"/>
          <w:b w:val="0"/>
          <w:bCs w:val="0"/>
          <w:i/>
          <w:iCs/>
          <w:lang w:eastAsia="ar-SA"/>
        </w:rPr>
        <w:t>cogito</w:t>
      </w:r>
      <w:r>
        <w:rPr>
          <w:rFonts w:eastAsia="Times New Roman"/>
          <w:b w:val="0"/>
          <w:bCs w:val="0"/>
          <w:lang w:eastAsia="ar-SA"/>
        </w:rPr>
        <w:t>; le prove dell’esistenza di Dio; Dio come garante dell’esistenza della realtà sensibile; il dualismo fra res cogitans e res extensa. La fisica e la cosmologia di Cartesio; la teoria dei vortici.</w:t>
      </w:r>
    </w:p>
    <w:p w14:paraId="72582B7A" w14:textId="5DE9CEF9" w:rsidR="00E521D4" w:rsidRDefault="00A6361B" w:rsidP="00E521D4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Il panteismo di S</w:t>
      </w:r>
      <w:r w:rsidR="00E521D4">
        <w:rPr>
          <w:rFonts w:eastAsia="Times New Roman"/>
          <w:lang w:eastAsia="ar-SA"/>
        </w:rPr>
        <w:t>pinoza: la sostanza</w:t>
      </w:r>
      <w:r>
        <w:rPr>
          <w:rFonts w:eastAsia="Times New Roman"/>
          <w:lang w:eastAsia="ar-SA"/>
        </w:rPr>
        <w:t xml:space="preserve"> come ordine oggettivo della natura; Natura naturans e Natura naturata; il parallelismo tra pensiero ed estensione; i gradi della conoscenza e il sommo bene; la libertà dell’uomo</w:t>
      </w:r>
    </w:p>
    <w:p w14:paraId="4CDB7ED3" w14:textId="2D6E0F92" w:rsidR="00E521D4" w:rsidRDefault="00E521D4" w:rsidP="00E521D4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L’empirismo: caratteri generali. Locke: idee semplici e idee complesse; la riflessione sul concetto di sostanza; la conoscenza e le sue forme.</w:t>
      </w:r>
    </w:p>
    <w:p w14:paraId="1B9D3042" w14:textId="77777777" w:rsidR="00E521D4" w:rsidRDefault="00E521D4" w:rsidP="00E521D4">
      <w:pPr>
        <w:pStyle w:val="Paragrafoelenco"/>
        <w:spacing w:before="120" w:after="100" w:afterAutospacing="1"/>
        <w:ind w:left="501"/>
        <w:jc w:val="both"/>
        <w:rPr>
          <w:rFonts w:eastAsia="Times New Roman"/>
          <w:lang w:eastAsia="ar-SA"/>
        </w:rPr>
      </w:pPr>
    </w:p>
    <w:p w14:paraId="78511204" w14:textId="72521679" w:rsidR="00E521D4" w:rsidRDefault="00E521D4" w:rsidP="00E521D4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Hume: le impressioni e le idee, l’abitudine e il principio di associazione; il principio di causa e la credenza nel mondo esterno.</w:t>
      </w:r>
    </w:p>
    <w:p w14:paraId="5C44C973" w14:textId="77777777" w:rsidR="00E521D4" w:rsidRPr="00E521D4" w:rsidRDefault="00E521D4" w:rsidP="00E521D4">
      <w:pPr>
        <w:pStyle w:val="Paragrafoelenco"/>
        <w:rPr>
          <w:rFonts w:eastAsia="Times New Roman"/>
          <w:lang w:eastAsia="ar-SA"/>
        </w:rPr>
      </w:pPr>
    </w:p>
    <w:p w14:paraId="523527CD" w14:textId="7BA39AA4" w:rsidR="00E521D4" w:rsidRDefault="00E521D4" w:rsidP="00E521D4">
      <w:pPr>
        <w:pStyle w:val="Paragrafoelenco"/>
        <w:numPr>
          <w:ilvl w:val="0"/>
          <w:numId w:val="1"/>
        </w:numPr>
        <w:spacing w:before="120" w:after="100" w:afterAutospacing="1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</w:t>
      </w:r>
      <w:r w:rsidR="00A6361B">
        <w:rPr>
          <w:rFonts w:eastAsia="Times New Roman"/>
          <w:lang w:eastAsia="ar-SA"/>
        </w:rPr>
        <w:t>ntroduzione al</w:t>
      </w:r>
      <w:r>
        <w:rPr>
          <w:rFonts w:eastAsia="Times New Roman"/>
          <w:lang w:eastAsia="ar-SA"/>
        </w:rPr>
        <w:t xml:space="preserve"> Criticismo kantiano: gli scritti del periodo precritico; il problema della Cr</w:t>
      </w:r>
      <w:r w:rsidR="00A6361B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tica della Ragion pura; g</w:t>
      </w:r>
      <w:r w:rsidR="00A6361B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udizi analitici e giudizi sintetici</w:t>
      </w:r>
    </w:p>
    <w:p w14:paraId="592D0C94" w14:textId="77777777" w:rsidR="00E521D4" w:rsidRDefault="00E521D4" w:rsidP="00E521D4">
      <w:pPr>
        <w:pStyle w:val="Titolo"/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N.B. La trattazione dell’età dei Lumi e dei suoi esponenti principali è stata inserita nel programma di Storia </w:t>
      </w:r>
    </w:p>
    <w:p w14:paraId="30485D9D" w14:textId="77777777" w:rsidR="00E521D4" w:rsidRPr="003E2716" w:rsidRDefault="00E521D4" w:rsidP="00E521D4">
      <w:pPr>
        <w:pStyle w:val="Titolo"/>
        <w:spacing w:before="120" w:after="100" w:afterAutospacing="1"/>
        <w:jc w:val="both"/>
        <w:rPr>
          <w:rFonts w:eastAsia="Times New Roman"/>
          <w:b w:val="0"/>
          <w:bCs w:val="0"/>
          <w:lang w:eastAsia="ar-SA"/>
        </w:rPr>
      </w:pPr>
      <w:r>
        <w:rPr>
          <w:rFonts w:eastAsia="Times New Roman"/>
          <w:b w:val="0"/>
          <w:bCs w:val="0"/>
          <w:lang w:eastAsia="ar-SA"/>
        </w:rPr>
        <w:t xml:space="preserve">Il docente   </w:t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</w:r>
      <w:r>
        <w:rPr>
          <w:rFonts w:eastAsia="Times New Roman"/>
          <w:b w:val="0"/>
          <w:bCs w:val="0"/>
          <w:lang w:eastAsia="ar-SA"/>
        </w:rPr>
        <w:tab/>
        <w:t>Gli studenti</w:t>
      </w:r>
    </w:p>
    <w:p w14:paraId="21697102" w14:textId="77777777" w:rsidR="00A56F20" w:rsidRDefault="00A56F20"/>
    <w:sectPr w:rsidR="00A56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7747"/>
    <w:multiLevelType w:val="hybridMultilevel"/>
    <w:tmpl w:val="66346CE6"/>
    <w:lvl w:ilvl="0" w:tplc="0410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1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87"/>
    <w:rsid w:val="00204487"/>
    <w:rsid w:val="00242A27"/>
    <w:rsid w:val="00A56F20"/>
    <w:rsid w:val="00A6361B"/>
    <w:rsid w:val="00E5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6034"/>
  <w15:chartTrackingRefBased/>
  <w15:docId w15:val="{A8F07791-85E7-47B0-918A-32D3B0D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Intestazione"/>
    <w:next w:val="Corpotesto"/>
    <w:link w:val="SottotitoloCarattere"/>
    <w:qFormat/>
    <w:rsid w:val="00E521D4"/>
    <w:pPr>
      <w:keepNext/>
      <w:widowControl w:val="0"/>
      <w:tabs>
        <w:tab w:val="clear" w:pos="4819"/>
        <w:tab w:val="clear" w:pos="9638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kern w:val="2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521D4"/>
    <w:rPr>
      <w:rFonts w:ascii="Arial" w:eastAsia="Lucida Sans Unicode" w:hAnsi="Arial" w:cs="Tahoma"/>
      <w:i/>
      <w:iCs/>
      <w:kern w:val="2"/>
      <w:sz w:val="28"/>
      <w:szCs w:val="28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E521D4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21D4"/>
    <w:rPr>
      <w:rFonts w:ascii="Times New Roman" w:eastAsia="Lucida Sans Unicode" w:hAnsi="Times New Roman" w:cs="Times New Roman"/>
      <w:b/>
      <w:bCs/>
      <w:kern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521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521D4"/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21D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21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3</cp:revision>
  <dcterms:created xsi:type="dcterms:W3CDTF">2022-06-06T21:01:00Z</dcterms:created>
  <dcterms:modified xsi:type="dcterms:W3CDTF">2022-06-06T21:11:00Z</dcterms:modified>
</cp:coreProperties>
</file>