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13E7A7B9" w:rsidR="006928A7" w:rsidRDefault="00C3107C">
      <w:pPr>
        <w:shd w:val="clear" w:color="auto" w:fill="FFFFFF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Programma filosofia quinto</w:t>
      </w:r>
    </w:p>
    <w:p w14:paraId="391A12E3" w14:textId="77777777" w:rsidR="00D42D44" w:rsidRDefault="00D42D44">
      <w:pPr>
        <w:shd w:val="clear" w:color="auto" w:fill="FFFFFF"/>
        <w:jc w:val="center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p w14:paraId="7B73AEA3" w14:textId="77777777" w:rsidR="00D42D44" w:rsidRPr="00D42D44" w:rsidRDefault="00D42D44" w:rsidP="00D42D44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42D44">
        <w:rPr>
          <w:rFonts w:ascii="Arial" w:eastAsia="Arial" w:hAnsi="Arial" w:cs="Arial"/>
          <w:color w:val="000000"/>
          <w:sz w:val="22"/>
          <w:szCs w:val="22"/>
        </w:rPr>
        <w:t>IL CRITICISMO KANTIANO</w:t>
      </w:r>
    </w:p>
    <w:p w14:paraId="1FFF93C2" w14:textId="77777777" w:rsidR="00D42D44" w:rsidRPr="00D42D44" w:rsidRDefault="00D42D44" w:rsidP="00D42D44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42D44">
        <w:rPr>
          <w:rFonts w:ascii="Arial" w:eastAsia="Arial" w:hAnsi="Arial" w:cs="Arial"/>
          <w:color w:val="000000"/>
          <w:sz w:val="22"/>
          <w:szCs w:val="22"/>
        </w:rPr>
        <w:t>Kant</w:t>
      </w:r>
    </w:p>
    <w:p w14:paraId="2AD44CB9" w14:textId="77777777" w:rsidR="00D42D44" w:rsidRPr="00D42D44" w:rsidRDefault="00D42D44" w:rsidP="00D42D44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42D44">
        <w:rPr>
          <w:rFonts w:ascii="Arial" w:eastAsia="Arial" w:hAnsi="Arial" w:cs="Arial"/>
          <w:color w:val="000000"/>
          <w:sz w:val="22"/>
          <w:szCs w:val="22"/>
        </w:rPr>
        <w:t xml:space="preserve">∙ Vita e opere </w:t>
      </w:r>
    </w:p>
    <w:p w14:paraId="2D90277B" w14:textId="77777777" w:rsidR="00D42D44" w:rsidRPr="00D42D44" w:rsidRDefault="00D42D44" w:rsidP="00D42D44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42D44">
        <w:rPr>
          <w:rFonts w:ascii="Arial" w:eastAsia="Arial" w:hAnsi="Arial" w:cs="Arial"/>
          <w:color w:val="000000"/>
          <w:sz w:val="22"/>
          <w:szCs w:val="22"/>
        </w:rPr>
        <w:t>∙ La Critica della ragion pura: i limiti della conoscenza umana, fenomeno e noumeno, i giudizi, la rivoluzione copernicana, l’</w:t>
      </w:r>
      <w:proofErr w:type="spellStart"/>
      <w:r w:rsidRPr="00D42D44">
        <w:rPr>
          <w:rFonts w:ascii="Arial" w:eastAsia="Arial" w:hAnsi="Arial" w:cs="Arial"/>
          <w:color w:val="000000"/>
          <w:sz w:val="22"/>
          <w:szCs w:val="22"/>
        </w:rPr>
        <w:t>Estestica</w:t>
      </w:r>
      <w:proofErr w:type="spellEnd"/>
      <w:r w:rsidRPr="00D42D44">
        <w:rPr>
          <w:rFonts w:ascii="Arial" w:eastAsia="Arial" w:hAnsi="Arial" w:cs="Arial"/>
          <w:color w:val="000000"/>
          <w:sz w:val="22"/>
          <w:szCs w:val="22"/>
        </w:rPr>
        <w:t xml:space="preserve"> trascendentale e le intuizioni pure, la Logica trascendentale e le categorie, l’Io penso, la Dialettica trascendentale</w:t>
      </w:r>
    </w:p>
    <w:p w14:paraId="0E475E19" w14:textId="77777777" w:rsidR="00D42D44" w:rsidRPr="00D42D44" w:rsidRDefault="00D42D44" w:rsidP="00D42D44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42D44">
        <w:rPr>
          <w:rFonts w:ascii="Arial" w:eastAsia="Arial" w:hAnsi="Arial" w:cs="Arial"/>
          <w:color w:val="000000"/>
          <w:sz w:val="22"/>
          <w:szCs w:val="22"/>
        </w:rPr>
        <w:t>∙ La Critica della ragion pratica: l’autonomia della ragione morale, massime e imperativi, i postulati, il sommo bene, il primato della ragion pratica</w:t>
      </w:r>
    </w:p>
    <w:p w14:paraId="62F19256" w14:textId="77777777" w:rsidR="00D42D44" w:rsidRPr="00D42D44" w:rsidRDefault="00D42D44" w:rsidP="00D42D44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42D44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6887E25A" w14:textId="77777777" w:rsidR="00D42D44" w:rsidRPr="00D42D44" w:rsidRDefault="00D42D44" w:rsidP="00D42D44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42D44">
        <w:rPr>
          <w:rFonts w:ascii="Arial" w:eastAsia="Arial" w:hAnsi="Arial" w:cs="Arial"/>
          <w:color w:val="000000"/>
          <w:sz w:val="22"/>
          <w:szCs w:val="22"/>
        </w:rPr>
        <w:t>L’IDEALISMO</w:t>
      </w:r>
    </w:p>
    <w:p w14:paraId="4003933A" w14:textId="77777777" w:rsidR="00D42D44" w:rsidRPr="00D42D44" w:rsidRDefault="00D42D44" w:rsidP="00D42D44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42D44">
        <w:rPr>
          <w:rFonts w:ascii="Arial" w:eastAsia="Arial" w:hAnsi="Arial" w:cs="Arial"/>
          <w:color w:val="000000"/>
          <w:sz w:val="22"/>
          <w:szCs w:val="22"/>
        </w:rPr>
        <w:t>∙ La concezione della ragione nel Romanticismo</w:t>
      </w:r>
    </w:p>
    <w:p w14:paraId="6433ED90" w14:textId="77777777" w:rsidR="00D42D44" w:rsidRPr="00D42D44" w:rsidRDefault="00D42D44" w:rsidP="00D42D44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42D44">
        <w:rPr>
          <w:rFonts w:ascii="Arial" w:eastAsia="Arial" w:hAnsi="Arial" w:cs="Arial"/>
          <w:color w:val="000000"/>
          <w:sz w:val="22"/>
          <w:szCs w:val="22"/>
        </w:rPr>
        <w:t>∙ Caratteri generali dell’Idealismo</w:t>
      </w:r>
    </w:p>
    <w:p w14:paraId="372D90D1" w14:textId="77777777" w:rsidR="00D42D44" w:rsidRPr="00D42D44" w:rsidRDefault="00D42D44" w:rsidP="00D42D44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 w:rsidRPr="00D42D44">
        <w:rPr>
          <w:rFonts w:ascii="Arial" w:eastAsia="Arial" w:hAnsi="Arial" w:cs="Arial"/>
          <w:color w:val="000000"/>
          <w:sz w:val="22"/>
          <w:szCs w:val="22"/>
        </w:rPr>
        <w:t>Hegel</w:t>
      </w:r>
      <w:proofErr w:type="spellEnd"/>
      <w:r w:rsidRPr="00D42D44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6A198428" w14:textId="77777777" w:rsidR="00D42D44" w:rsidRPr="00D42D44" w:rsidRDefault="00D42D44" w:rsidP="00D42D44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42D44">
        <w:rPr>
          <w:rFonts w:ascii="Arial" w:eastAsia="Arial" w:hAnsi="Arial" w:cs="Arial"/>
          <w:color w:val="000000"/>
          <w:sz w:val="22"/>
          <w:szCs w:val="22"/>
        </w:rPr>
        <w:t xml:space="preserve">∙ Vita e opere </w:t>
      </w:r>
    </w:p>
    <w:p w14:paraId="6FEFD163" w14:textId="77777777" w:rsidR="00D42D44" w:rsidRPr="00D42D44" w:rsidRDefault="00D42D44" w:rsidP="00D42D44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42D44">
        <w:rPr>
          <w:rFonts w:ascii="Arial" w:eastAsia="Arial" w:hAnsi="Arial" w:cs="Arial"/>
          <w:color w:val="000000"/>
          <w:sz w:val="22"/>
          <w:szCs w:val="22"/>
        </w:rPr>
        <w:t xml:space="preserve">∙ La concezione della realtà </w:t>
      </w:r>
    </w:p>
    <w:p w14:paraId="5E40C184" w14:textId="77777777" w:rsidR="00D42D44" w:rsidRPr="00D42D44" w:rsidRDefault="00D42D44" w:rsidP="00D42D44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42D44">
        <w:rPr>
          <w:rFonts w:ascii="Arial" w:eastAsia="Arial" w:hAnsi="Arial" w:cs="Arial"/>
          <w:color w:val="000000"/>
          <w:sz w:val="22"/>
          <w:szCs w:val="22"/>
        </w:rPr>
        <w:t xml:space="preserve">∙ La Fenomenologia dello Spirito: struttura generale dell’opera e figure principali </w:t>
      </w:r>
    </w:p>
    <w:p w14:paraId="754CDD36" w14:textId="77777777" w:rsidR="00D42D44" w:rsidRPr="00D42D44" w:rsidRDefault="00D42D44" w:rsidP="00D42D44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42D44">
        <w:rPr>
          <w:rFonts w:ascii="Arial" w:eastAsia="Arial" w:hAnsi="Arial" w:cs="Arial"/>
          <w:color w:val="000000"/>
          <w:sz w:val="22"/>
          <w:szCs w:val="22"/>
        </w:rPr>
        <w:t xml:space="preserve">∙ La Filosofia dello Spirito: Spirito oggettivo, assoluto </w:t>
      </w:r>
    </w:p>
    <w:p w14:paraId="20CF4EEA" w14:textId="77777777" w:rsidR="00D42D44" w:rsidRPr="00D42D44" w:rsidRDefault="00D42D44" w:rsidP="00D42D44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42D44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4C1328DF" w14:textId="77777777" w:rsidR="00D42D44" w:rsidRPr="00D42D44" w:rsidRDefault="00D42D44" w:rsidP="00D42D44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42D44">
        <w:rPr>
          <w:rFonts w:ascii="Arial" w:eastAsia="Arial" w:hAnsi="Arial" w:cs="Arial"/>
          <w:color w:val="000000"/>
          <w:sz w:val="22"/>
          <w:szCs w:val="22"/>
        </w:rPr>
        <w:t xml:space="preserve">LA REAZIONE AL PENSIERO HEGELIANO </w:t>
      </w:r>
    </w:p>
    <w:p w14:paraId="1613BFE4" w14:textId="77777777" w:rsidR="00D42D44" w:rsidRPr="00D42D44" w:rsidRDefault="00D42D44" w:rsidP="00D42D44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42D44">
        <w:rPr>
          <w:rFonts w:ascii="Arial" w:eastAsia="Arial" w:hAnsi="Arial" w:cs="Arial"/>
          <w:color w:val="000000"/>
          <w:sz w:val="22"/>
          <w:szCs w:val="22"/>
        </w:rPr>
        <w:t xml:space="preserve">Schopenhauer </w:t>
      </w:r>
    </w:p>
    <w:p w14:paraId="0EB54F3E" w14:textId="77777777" w:rsidR="00D42D44" w:rsidRPr="00D42D44" w:rsidRDefault="00D42D44" w:rsidP="00D42D44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42D44">
        <w:rPr>
          <w:rFonts w:ascii="Arial" w:eastAsia="Arial" w:hAnsi="Arial" w:cs="Arial"/>
          <w:color w:val="000000"/>
          <w:sz w:val="22"/>
          <w:szCs w:val="22"/>
        </w:rPr>
        <w:t xml:space="preserve">∙ Vita e opere </w:t>
      </w:r>
    </w:p>
    <w:p w14:paraId="5CADC6F4" w14:textId="77777777" w:rsidR="00D42D44" w:rsidRPr="00D42D44" w:rsidRDefault="00D42D44" w:rsidP="00D42D44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42D44">
        <w:rPr>
          <w:rFonts w:ascii="Arial" w:eastAsia="Arial" w:hAnsi="Arial" w:cs="Arial"/>
          <w:color w:val="000000"/>
          <w:sz w:val="22"/>
          <w:szCs w:val="22"/>
        </w:rPr>
        <w:t xml:space="preserve">∙ Il mondo come volontà e rappresentazione, caratteri fondamentali </w:t>
      </w:r>
    </w:p>
    <w:p w14:paraId="11B658C8" w14:textId="77777777" w:rsidR="00D42D44" w:rsidRPr="00D42D44" w:rsidRDefault="00D42D44" w:rsidP="00D42D44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42D44">
        <w:rPr>
          <w:rFonts w:ascii="Arial" w:eastAsia="Arial" w:hAnsi="Arial" w:cs="Arial"/>
          <w:color w:val="000000"/>
          <w:sz w:val="22"/>
          <w:szCs w:val="22"/>
        </w:rPr>
        <w:t xml:space="preserve">∙ Le vie di liberazione dal dolore </w:t>
      </w:r>
    </w:p>
    <w:p w14:paraId="1B78B7D7" w14:textId="77777777" w:rsidR="00D42D44" w:rsidRPr="00D42D44" w:rsidRDefault="00D42D44" w:rsidP="00D42D44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42D44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1317C04" w14:textId="77777777" w:rsidR="00D42D44" w:rsidRPr="00D42D44" w:rsidRDefault="00D42D44" w:rsidP="00D42D44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42D44">
        <w:rPr>
          <w:rFonts w:ascii="Arial" w:eastAsia="Arial" w:hAnsi="Arial" w:cs="Arial"/>
          <w:color w:val="000000"/>
          <w:sz w:val="22"/>
          <w:szCs w:val="22"/>
        </w:rPr>
        <w:t xml:space="preserve">Kierkegaard </w:t>
      </w:r>
    </w:p>
    <w:p w14:paraId="626F4ED0" w14:textId="77777777" w:rsidR="00D42D44" w:rsidRPr="00D42D44" w:rsidRDefault="00D42D44" w:rsidP="00D42D44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42D44">
        <w:rPr>
          <w:rFonts w:ascii="Arial" w:eastAsia="Arial" w:hAnsi="Arial" w:cs="Arial"/>
          <w:color w:val="000000"/>
          <w:sz w:val="22"/>
          <w:szCs w:val="22"/>
        </w:rPr>
        <w:t xml:space="preserve">∙ Vita e opere </w:t>
      </w:r>
    </w:p>
    <w:p w14:paraId="632F6597" w14:textId="77777777" w:rsidR="00D42D44" w:rsidRPr="00D42D44" w:rsidRDefault="00D42D44" w:rsidP="00D42D44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42D44">
        <w:rPr>
          <w:rFonts w:ascii="Arial" w:eastAsia="Arial" w:hAnsi="Arial" w:cs="Arial"/>
          <w:color w:val="000000"/>
          <w:sz w:val="22"/>
          <w:szCs w:val="22"/>
        </w:rPr>
        <w:t xml:space="preserve">∙ La critica al pensiero hegeliano </w:t>
      </w:r>
    </w:p>
    <w:p w14:paraId="2C5949F8" w14:textId="77777777" w:rsidR="00D42D44" w:rsidRPr="00D42D44" w:rsidRDefault="00D42D44" w:rsidP="00D42D44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42D44">
        <w:rPr>
          <w:rFonts w:ascii="Arial" w:eastAsia="Arial" w:hAnsi="Arial" w:cs="Arial"/>
          <w:color w:val="000000"/>
          <w:sz w:val="22"/>
          <w:szCs w:val="22"/>
        </w:rPr>
        <w:t xml:space="preserve">∙ I tre stadi dell’esistenza </w:t>
      </w:r>
    </w:p>
    <w:p w14:paraId="78776916" w14:textId="77777777" w:rsidR="00D42D44" w:rsidRPr="00D42D44" w:rsidRDefault="00D42D44" w:rsidP="00D42D44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42D44">
        <w:rPr>
          <w:rFonts w:ascii="Arial" w:eastAsia="Arial" w:hAnsi="Arial" w:cs="Arial"/>
          <w:color w:val="000000"/>
          <w:sz w:val="22"/>
          <w:szCs w:val="22"/>
        </w:rPr>
        <w:t>∙ Angoscia, disperazione e fede</w:t>
      </w:r>
    </w:p>
    <w:p w14:paraId="18076176" w14:textId="77777777" w:rsidR="00D42D44" w:rsidRPr="00D42D44" w:rsidRDefault="00D42D44" w:rsidP="00D42D44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42D44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6E32B811" w14:textId="77777777" w:rsidR="00D42D44" w:rsidRPr="00D42D44" w:rsidRDefault="00D42D44" w:rsidP="00D42D44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 w:rsidRPr="00D42D44">
        <w:rPr>
          <w:rFonts w:ascii="Arial" w:eastAsia="Arial" w:hAnsi="Arial" w:cs="Arial"/>
          <w:color w:val="000000"/>
          <w:sz w:val="22"/>
          <w:szCs w:val="22"/>
        </w:rPr>
        <w:t>Feuerbach</w:t>
      </w:r>
      <w:proofErr w:type="spellEnd"/>
    </w:p>
    <w:p w14:paraId="2ACC59F7" w14:textId="77777777" w:rsidR="00D42D44" w:rsidRPr="00D42D44" w:rsidRDefault="00D42D44" w:rsidP="00D42D44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42D44">
        <w:rPr>
          <w:rFonts w:ascii="Arial" w:eastAsia="Arial" w:hAnsi="Arial" w:cs="Arial"/>
          <w:color w:val="000000"/>
          <w:sz w:val="22"/>
          <w:szCs w:val="22"/>
        </w:rPr>
        <w:t xml:space="preserve">∙ Vita e opere </w:t>
      </w:r>
    </w:p>
    <w:p w14:paraId="7CA420E2" w14:textId="77777777" w:rsidR="00D42D44" w:rsidRPr="00D42D44" w:rsidRDefault="00D42D44" w:rsidP="00D42D44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42D44">
        <w:rPr>
          <w:rFonts w:ascii="Arial" w:eastAsia="Arial" w:hAnsi="Arial" w:cs="Arial"/>
          <w:color w:val="000000"/>
          <w:sz w:val="22"/>
          <w:szCs w:val="22"/>
        </w:rPr>
        <w:t xml:space="preserve">∙ La critica al pensiero hegeliano </w:t>
      </w:r>
    </w:p>
    <w:p w14:paraId="3F8E7B3B" w14:textId="77777777" w:rsidR="00D42D44" w:rsidRPr="00D42D44" w:rsidRDefault="00D42D44" w:rsidP="00D42D44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42D44">
        <w:rPr>
          <w:rFonts w:ascii="Arial" w:eastAsia="Arial" w:hAnsi="Arial" w:cs="Arial"/>
          <w:color w:val="000000"/>
          <w:sz w:val="22"/>
          <w:szCs w:val="22"/>
        </w:rPr>
        <w:t>∙ Il concetto di alienazione</w:t>
      </w:r>
    </w:p>
    <w:p w14:paraId="581A6D75" w14:textId="77777777" w:rsidR="00D42D44" w:rsidRPr="00D42D44" w:rsidRDefault="00D42D44" w:rsidP="00D42D44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42D44">
        <w:rPr>
          <w:rFonts w:ascii="Arial" w:eastAsia="Arial" w:hAnsi="Arial" w:cs="Arial"/>
          <w:color w:val="000000"/>
          <w:sz w:val="22"/>
          <w:szCs w:val="22"/>
        </w:rPr>
        <w:t>∙ l’origine della religione</w:t>
      </w:r>
    </w:p>
    <w:p w14:paraId="08E61858" w14:textId="77777777" w:rsidR="00D42D44" w:rsidRPr="00D42D44" w:rsidRDefault="00D42D44" w:rsidP="00D42D44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42D44">
        <w:rPr>
          <w:rFonts w:ascii="Arial" w:eastAsia="Arial" w:hAnsi="Arial" w:cs="Arial"/>
          <w:color w:val="000000"/>
          <w:sz w:val="22"/>
          <w:szCs w:val="22"/>
        </w:rPr>
        <w:t>∙ L’ateismo come dovere morale e l’umanesimo</w:t>
      </w:r>
    </w:p>
    <w:p w14:paraId="7E409E97" w14:textId="77777777" w:rsidR="00D42D44" w:rsidRPr="00D42D44" w:rsidRDefault="00D42D44" w:rsidP="00D42D44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42D44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1010F0A8" w14:textId="77777777" w:rsidR="00D42D44" w:rsidRPr="00D42D44" w:rsidRDefault="00D42D44" w:rsidP="00D42D44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42D44">
        <w:rPr>
          <w:rFonts w:ascii="Arial" w:eastAsia="Arial" w:hAnsi="Arial" w:cs="Arial"/>
          <w:color w:val="000000"/>
          <w:sz w:val="22"/>
          <w:szCs w:val="22"/>
        </w:rPr>
        <w:t xml:space="preserve">I MAESTRI DEL SOSPETTO </w:t>
      </w:r>
    </w:p>
    <w:p w14:paraId="74ED22C9" w14:textId="77777777" w:rsidR="00D42D44" w:rsidRPr="00D42D44" w:rsidRDefault="00D42D44" w:rsidP="00D42D44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 w:rsidRPr="00D42D44">
        <w:rPr>
          <w:rFonts w:ascii="Arial" w:eastAsia="Arial" w:hAnsi="Arial" w:cs="Arial"/>
          <w:color w:val="000000"/>
          <w:sz w:val="22"/>
          <w:szCs w:val="22"/>
        </w:rPr>
        <w:t>Marx</w:t>
      </w:r>
      <w:proofErr w:type="spellEnd"/>
      <w:r w:rsidRPr="00D42D44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485C7D58" w14:textId="77777777" w:rsidR="00D42D44" w:rsidRPr="00D42D44" w:rsidRDefault="00D42D44" w:rsidP="00D42D44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42D44">
        <w:rPr>
          <w:rFonts w:ascii="Arial" w:eastAsia="Arial" w:hAnsi="Arial" w:cs="Arial"/>
          <w:color w:val="000000"/>
          <w:sz w:val="22"/>
          <w:szCs w:val="22"/>
        </w:rPr>
        <w:t xml:space="preserve">∙ Vita e opere </w:t>
      </w:r>
    </w:p>
    <w:p w14:paraId="1F416A6B" w14:textId="77777777" w:rsidR="00D42D44" w:rsidRPr="00D42D44" w:rsidRDefault="00D42D44" w:rsidP="00D42D44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42D44">
        <w:rPr>
          <w:rFonts w:ascii="Arial" w:eastAsia="Arial" w:hAnsi="Arial" w:cs="Arial"/>
          <w:color w:val="000000"/>
          <w:sz w:val="22"/>
          <w:szCs w:val="22"/>
        </w:rPr>
        <w:t xml:space="preserve">∙ La critica a </w:t>
      </w:r>
      <w:proofErr w:type="spellStart"/>
      <w:r w:rsidRPr="00D42D44">
        <w:rPr>
          <w:rFonts w:ascii="Arial" w:eastAsia="Arial" w:hAnsi="Arial" w:cs="Arial"/>
          <w:color w:val="000000"/>
          <w:sz w:val="22"/>
          <w:szCs w:val="22"/>
        </w:rPr>
        <w:t>Hegel</w:t>
      </w:r>
      <w:proofErr w:type="spellEnd"/>
      <w:r w:rsidRPr="00D42D44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2B9C4F5B" w14:textId="77777777" w:rsidR="00D42D44" w:rsidRPr="00D42D44" w:rsidRDefault="00D42D44" w:rsidP="00D42D44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42D44">
        <w:rPr>
          <w:rFonts w:ascii="Arial" w:eastAsia="Arial" w:hAnsi="Arial" w:cs="Arial"/>
          <w:color w:val="000000"/>
          <w:sz w:val="22"/>
          <w:szCs w:val="22"/>
        </w:rPr>
        <w:t xml:space="preserve">∙ La concezione materialistica della storia </w:t>
      </w:r>
    </w:p>
    <w:p w14:paraId="269D30A6" w14:textId="77777777" w:rsidR="00D42D44" w:rsidRPr="00D42D44" w:rsidRDefault="00D42D44" w:rsidP="00D42D44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42D44">
        <w:rPr>
          <w:rFonts w:ascii="Arial" w:eastAsia="Arial" w:hAnsi="Arial" w:cs="Arial"/>
          <w:color w:val="000000"/>
          <w:sz w:val="22"/>
          <w:szCs w:val="22"/>
        </w:rPr>
        <w:t xml:space="preserve">∙ Il concetto di alienazione </w:t>
      </w:r>
    </w:p>
    <w:p w14:paraId="77601AEE" w14:textId="77777777" w:rsidR="00D42D44" w:rsidRPr="00D42D44" w:rsidRDefault="00D42D44" w:rsidP="00D42D44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42D44">
        <w:rPr>
          <w:rFonts w:ascii="Arial" w:eastAsia="Arial" w:hAnsi="Arial" w:cs="Arial"/>
          <w:color w:val="000000"/>
          <w:sz w:val="22"/>
          <w:szCs w:val="22"/>
        </w:rPr>
        <w:t xml:space="preserve">∙ Il Manifesto del partito </w:t>
      </w:r>
      <w:proofErr w:type="spellStart"/>
      <w:r w:rsidRPr="00D42D44">
        <w:rPr>
          <w:rFonts w:ascii="Arial" w:eastAsia="Arial" w:hAnsi="Arial" w:cs="Arial"/>
          <w:color w:val="000000"/>
          <w:sz w:val="22"/>
          <w:szCs w:val="22"/>
        </w:rPr>
        <w:t>comnista</w:t>
      </w:r>
      <w:proofErr w:type="spellEnd"/>
    </w:p>
    <w:p w14:paraId="3CF6195E" w14:textId="77777777" w:rsidR="00D42D44" w:rsidRPr="00D42D44" w:rsidRDefault="00D42D44" w:rsidP="00D42D44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42D44">
        <w:rPr>
          <w:rFonts w:ascii="Arial" w:eastAsia="Arial" w:hAnsi="Arial" w:cs="Arial"/>
          <w:color w:val="000000"/>
          <w:sz w:val="22"/>
          <w:szCs w:val="22"/>
        </w:rPr>
        <w:t>∙ La dittatura del proletariato</w:t>
      </w:r>
    </w:p>
    <w:p w14:paraId="4837FD32" w14:textId="77777777" w:rsidR="00D42D44" w:rsidRPr="00D42D44" w:rsidRDefault="00D42D44" w:rsidP="00D42D44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42D44">
        <w:rPr>
          <w:rFonts w:ascii="Arial" w:eastAsia="Arial" w:hAnsi="Arial" w:cs="Arial"/>
          <w:color w:val="000000"/>
          <w:sz w:val="22"/>
          <w:szCs w:val="22"/>
        </w:rPr>
        <w:t>∙ Il Capitale</w:t>
      </w:r>
    </w:p>
    <w:p w14:paraId="26F93D09" w14:textId="77777777" w:rsidR="00D42D44" w:rsidRPr="00D42D44" w:rsidRDefault="00D42D44" w:rsidP="00D42D44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42D44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42A73BE4" w14:textId="77777777" w:rsidR="00D42D44" w:rsidRPr="00D42D44" w:rsidRDefault="00D42D44" w:rsidP="00D42D44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42D44">
        <w:rPr>
          <w:rFonts w:ascii="Arial" w:eastAsia="Arial" w:hAnsi="Arial" w:cs="Arial"/>
          <w:color w:val="000000"/>
          <w:sz w:val="22"/>
          <w:szCs w:val="22"/>
        </w:rPr>
        <w:t xml:space="preserve">Nietzsche </w:t>
      </w:r>
    </w:p>
    <w:p w14:paraId="24B16775" w14:textId="77777777" w:rsidR="00D42D44" w:rsidRPr="00D42D44" w:rsidRDefault="00D42D44" w:rsidP="00D42D44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42D44">
        <w:rPr>
          <w:rFonts w:ascii="Arial" w:eastAsia="Arial" w:hAnsi="Arial" w:cs="Arial"/>
          <w:color w:val="000000"/>
          <w:sz w:val="22"/>
          <w:szCs w:val="22"/>
        </w:rPr>
        <w:t xml:space="preserve">∙ Vita e opere </w:t>
      </w:r>
    </w:p>
    <w:p w14:paraId="44DAADE0" w14:textId="77777777" w:rsidR="00D42D44" w:rsidRPr="00D42D44" w:rsidRDefault="00D42D44" w:rsidP="00D42D44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42D44">
        <w:rPr>
          <w:rFonts w:ascii="Arial" w:eastAsia="Arial" w:hAnsi="Arial" w:cs="Arial"/>
          <w:color w:val="000000"/>
          <w:sz w:val="22"/>
          <w:szCs w:val="22"/>
        </w:rPr>
        <w:t xml:space="preserve">∙ La questione metodologica </w:t>
      </w:r>
    </w:p>
    <w:p w14:paraId="144D30F6" w14:textId="77777777" w:rsidR="00D42D44" w:rsidRPr="00D42D44" w:rsidRDefault="00D42D44" w:rsidP="00D42D44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42D44">
        <w:rPr>
          <w:rFonts w:ascii="Arial" w:eastAsia="Arial" w:hAnsi="Arial" w:cs="Arial"/>
          <w:color w:val="000000"/>
          <w:sz w:val="22"/>
          <w:szCs w:val="22"/>
        </w:rPr>
        <w:t>∙ Apollineo e dionisiaco ne La nascita della tragedia</w:t>
      </w:r>
    </w:p>
    <w:p w14:paraId="705C04E3" w14:textId="77777777" w:rsidR="00D42D44" w:rsidRPr="00D42D44" w:rsidRDefault="00D42D44" w:rsidP="00D42D44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42D44">
        <w:rPr>
          <w:rFonts w:ascii="Arial" w:eastAsia="Arial" w:hAnsi="Arial" w:cs="Arial"/>
          <w:color w:val="000000"/>
          <w:sz w:val="22"/>
          <w:szCs w:val="22"/>
        </w:rPr>
        <w:t xml:space="preserve">∙ Il problema morale: la “morte di Dio” e la fine della filosofia </w:t>
      </w:r>
    </w:p>
    <w:p w14:paraId="15346929" w14:textId="77777777" w:rsidR="00D42D44" w:rsidRPr="00D42D44" w:rsidRDefault="00D42D44" w:rsidP="00D42D44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42D44">
        <w:rPr>
          <w:rFonts w:ascii="Arial" w:eastAsia="Arial" w:hAnsi="Arial" w:cs="Arial"/>
          <w:color w:val="000000"/>
          <w:sz w:val="22"/>
          <w:szCs w:val="22"/>
        </w:rPr>
        <w:t>∙ L’</w:t>
      </w:r>
      <w:proofErr w:type="spellStart"/>
      <w:r w:rsidRPr="00D42D44">
        <w:rPr>
          <w:rFonts w:ascii="Arial" w:eastAsia="Arial" w:hAnsi="Arial" w:cs="Arial"/>
          <w:color w:val="000000"/>
          <w:sz w:val="22"/>
          <w:szCs w:val="22"/>
        </w:rPr>
        <w:t>Oltreuomo</w:t>
      </w:r>
      <w:proofErr w:type="spellEnd"/>
      <w:r w:rsidRPr="00D42D44">
        <w:rPr>
          <w:rFonts w:ascii="Arial" w:eastAsia="Arial" w:hAnsi="Arial" w:cs="Arial"/>
          <w:color w:val="000000"/>
          <w:sz w:val="22"/>
          <w:szCs w:val="22"/>
        </w:rPr>
        <w:t xml:space="preserve"> e l’eterno ritorno </w:t>
      </w:r>
    </w:p>
    <w:p w14:paraId="16B30491" w14:textId="77777777" w:rsidR="00D42D44" w:rsidRPr="00D42D44" w:rsidRDefault="00D42D44" w:rsidP="00D42D44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42D44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6CC2EAC4" w14:textId="77777777" w:rsidR="00D42D44" w:rsidRPr="00D42D44" w:rsidRDefault="00D42D44" w:rsidP="00D42D44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42D44"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Freud </w:t>
      </w:r>
    </w:p>
    <w:p w14:paraId="0CB554F9" w14:textId="77777777" w:rsidR="00D42D44" w:rsidRPr="00D42D44" w:rsidRDefault="00D42D44" w:rsidP="00D42D44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42D44">
        <w:rPr>
          <w:rFonts w:ascii="Arial" w:eastAsia="Arial" w:hAnsi="Arial" w:cs="Arial"/>
          <w:color w:val="000000"/>
          <w:sz w:val="22"/>
          <w:szCs w:val="22"/>
        </w:rPr>
        <w:t xml:space="preserve">∙ Vita e opere </w:t>
      </w:r>
    </w:p>
    <w:p w14:paraId="23897A00" w14:textId="77777777" w:rsidR="00D42D44" w:rsidRPr="00D42D44" w:rsidRDefault="00D42D44" w:rsidP="00D42D44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42D44">
        <w:rPr>
          <w:rFonts w:ascii="Arial" w:eastAsia="Arial" w:hAnsi="Arial" w:cs="Arial"/>
          <w:color w:val="000000"/>
          <w:sz w:val="22"/>
          <w:szCs w:val="22"/>
        </w:rPr>
        <w:t xml:space="preserve">∙ L’ Interpretazione dei sogni </w:t>
      </w:r>
    </w:p>
    <w:p w14:paraId="6C1A058C" w14:textId="77777777" w:rsidR="00D42D44" w:rsidRPr="00D42D44" w:rsidRDefault="00D42D44" w:rsidP="00D42D44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42D44">
        <w:rPr>
          <w:rFonts w:ascii="Arial" w:eastAsia="Arial" w:hAnsi="Arial" w:cs="Arial"/>
          <w:color w:val="000000"/>
          <w:sz w:val="22"/>
          <w:szCs w:val="22"/>
        </w:rPr>
        <w:t xml:space="preserve">∙ Il complesso di Edipo </w:t>
      </w:r>
    </w:p>
    <w:p w14:paraId="3D53CADD" w14:textId="77777777" w:rsidR="00D42D44" w:rsidRPr="00D42D44" w:rsidRDefault="00D42D44" w:rsidP="00D42D44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42D44">
        <w:rPr>
          <w:rFonts w:ascii="Arial" w:eastAsia="Arial" w:hAnsi="Arial" w:cs="Arial"/>
          <w:color w:val="000000"/>
          <w:sz w:val="22"/>
          <w:szCs w:val="22"/>
        </w:rPr>
        <w:t xml:space="preserve">∙ La psicoanalisi e lo studio dell’Inconscio </w:t>
      </w:r>
    </w:p>
    <w:p w14:paraId="529A55A1" w14:textId="77777777" w:rsidR="00D42D44" w:rsidRPr="00D42D44" w:rsidRDefault="00D42D44" w:rsidP="00D42D44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42D44">
        <w:rPr>
          <w:rFonts w:ascii="Arial" w:eastAsia="Arial" w:hAnsi="Arial" w:cs="Arial"/>
          <w:color w:val="000000"/>
          <w:sz w:val="22"/>
          <w:szCs w:val="22"/>
        </w:rPr>
        <w:t xml:space="preserve">∙ La struttura della psiche </w:t>
      </w:r>
    </w:p>
    <w:p w14:paraId="05D3D70F" w14:textId="77777777" w:rsidR="00D42D44" w:rsidRPr="00D42D44" w:rsidRDefault="00D42D44" w:rsidP="00D42D44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42D44">
        <w:rPr>
          <w:rFonts w:ascii="Arial" w:eastAsia="Arial" w:hAnsi="Arial" w:cs="Arial"/>
          <w:color w:val="000000"/>
          <w:sz w:val="22"/>
          <w:szCs w:val="22"/>
        </w:rPr>
        <w:t xml:space="preserve">∙ Il “disagio della civiltà” </w:t>
      </w:r>
    </w:p>
    <w:p w14:paraId="2AEE1E90" w14:textId="77777777" w:rsidR="00D42D44" w:rsidRPr="00D42D44" w:rsidRDefault="00D42D44" w:rsidP="00D42D44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C173210" w14:textId="77777777" w:rsidR="00D42D44" w:rsidRPr="00D42D44" w:rsidRDefault="00D42D44" w:rsidP="00D42D44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42D44">
        <w:rPr>
          <w:rFonts w:ascii="Arial" w:eastAsia="Arial" w:hAnsi="Arial" w:cs="Arial"/>
          <w:color w:val="000000"/>
          <w:sz w:val="22"/>
          <w:szCs w:val="22"/>
        </w:rPr>
        <w:t xml:space="preserve">Lettura dei brani: </w:t>
      </w:r>
    </w:p>
    <w:p w14:paraId="70E848AE" w14:textId="77777777" w:rsidR="00D42D44" w:rsidRPr="00D42D44" w:rsidRDefault="00D42D44" w:rsidP="00D42D44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42D44">
        <w:rPr>
          <w:rFonts w:ascii="Arial" w:eastAsia="Arial" w:hAnsi="Arial" w:cs="Arial"/>
          <w:color w:val="000000"/>
          <w:sz w:val="22"/>
          <w:szCs w:val="22"/>
        </w:rPr>
        <w:t xml:space="preserve">F. </w:t>
      </w:r>
      <w:proofErr w:type="spellStart"/>
      <w:r w:rsidRPr="00D42D44">
        <w:rPr>
          <w:rFonts w:ascii="Arial" w:eastAsia="Arial" w:hAnsi="Arial" w:cs="Arial"/>
          <w:color w:val="000000"/>
          <w:sz w:val="22"/>
          <w:szCs w:val="22"/>
        </w:rPr>
        <w:t>Schelling</w:t>
      </w:r>
      <w:proofErr w:type="spellEnd"/>
      <w:r w:rsidRPr="00D42D44">
        <w:rPr>
          <w:rFonts w:ascii="Arial" w:eastAsia="Arial" w:hAnsi="Arial" w:cs="Arial"/>
          <w:color w:val="000000"/>
          <w:sz w:val="22"/>
          <w:szCs w:val="22"/>
        </w:rPr>
        <w:t>, Introduzione ad Idee per una filosofia della natura, Sistema dell'idealismo trascendentale.</w:t>
      </w:r>
    </w:p>
    <w:p w14:paraId="1A39363F" w14:textId="77777777" w:rsidR="00D42D44" w:rsidRPr="00D42D44" w:rsidRDefault="00D42D44" w:rsidP="00D42D44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42D44">
        <w:rPr>
          <w:rFonts w:ascii="Arial" w:eastAsia="Arial" w:hAnsi="Arial" w:cs="Arial"/>
          <w:color w:val="000000"/>
          <w:sz w:val="22"/>
          <w:szCs w:val="22"/>
        </w:rPr>
        <w:t xml:space="preserve">G.W.F. </w:t>
      </w:r>
      <w:proofErr w:type="spellStart"/>
      <w:r w:rsidRPr="00D42D44">
        <w:rPr>
          <w:rFonts w:ascii="Arial" w:eastAsia="Arial" w:hAnsi="Arial" w:cs="Arial"/>
          <w:color w:val="000000"/>
          <w:sz w:val="22"/>
          <w:szCs w:val="22"/>
        </w:rPr>
        <w:t>Hegel</w:t>
      </w:r>
      <w:proofErr w:type="spellEnd"/>
      <w:r w:rsidRPr="00D42D44">
        <w:rPr>
          <w:rFonts w:ascii="Arial" w:eastAsia="Arial" w:hAnsi="Arial" w:cs="Arial"/>
          <w:color w:val="000000"/>
          <w:sz w:val="22"/>
          <w:szCs w:val="22"/>
        </w:rPr>
        <w:t>, Dalla sostanza delle cose al soggetto del mondo.</w:t>
      </w:r>
    </w:p>
    <w:p w14:paraId="1FE2CC41" w14:textId="77777777" w:rsidR="00D42D44" w:rsidRPr="00D42D44" w:rsidRDefault="00D42D44" w:rsidP="00D42D44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42D44">
        <w:rPr>
          <w:rFonts w:ascii="Arial" w:eastAsia="Arial" w:hAnsi="Arial" w:cs="Arial"/>
          <w:color w:val="000000"/>
          <w:sz w:val="22"/>
          <w:szCs w:val="22"/>
        </w:rPr>
        <w:t>Dalla Sostanza al soggetto.</w:t>
      </w:r>
    </w:p>
    <w:p w14:paraId="5AC2AA62" w14:textId="77777777" w:rsidR="00D42D44" w:rsidRPr="00D42D44" w:rsidRDefault="00D42D44" w:rsidP="00D42D44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proofErr w:type="gramStart"/>
      <w:r w:rsidRPr="00D42D44">
        <w:rPr>
          <w:rFonts w:ascii="Arial" w:eastAsia="Arial" w:hAnsi="Arial" w:cs="Arial"/>
          <w:color w:val="000000"/>
          <w:sz w:val="22"/>
          <w:szCs w:val="22"/>
        </w:rPr>
        <w:t>A.Schopenhauer</w:t>
      </w:r>
      <w:proofErr w:type="spellEnd"/>
      <w:proofErr w:type="gramEnd"/>
      <w:r w:rsidRPr="00D42D44">
        <w:rPr>
          <w:rFonts w:ascii="Arial" w:eastAsia="Arial" w:hAnsi="Arial" w:cs="Arial"/>
          <w:color w:val="000000"/>
          <w:sz w:val="22"/>
          <w:szCs w:val="22"/>
        </w:rPr>
        <w:t>, L’ascesi.</w:t>
      </w:r>
    </w:p>
    <w:p w14:paraId="790F6A75" w14:textId="77777777" w:rsidR="00D42D44" w:rsidRPr="00D42D44" w:rsidRDefault="00D42D44" w:rsidP="00D42D44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42D44">
        <w:rPr>
          <w:rFonts w:ascii="Arial" w:eastAsia="Arial" w:hAnsi="Arial" w:cs="Arial"/>
          <w:color w:val="000000"/>
          <w:sz w:val="22"/>
          <w:szCs w:val="22"/>
        </w:rPr>
        <w:t>Il Cristianesimo secondo Kierkegaard.</w:t>
      </w:r>
    </w:p>
    <w:p w14:paraId="5F740A2E" w14:textId="77777777" w:rsidR="00D42D44" w:rsidRPr="00D42D44" w:rsidRDefault="00D42D44" w:rsidP="00D42D44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42D44">
        <w:rPr>
          <w:rFonts w:ascii="Arial" w:eastAsia="Arial" w:hAnsi="Arial" w:cs="Arial"/>
          <w:color w:val="000000"/>
          <w:sz w:val="22"/>
          <w:szCs w:val="22"/>
        </w:rPr>
        <w:t xml:space="preserve">L. </w:t>
      </w:r>
      <w:proofErr w:type="spellStart"/>
      <w:r w:rsidRPr="00D42D44">
        <w:rPr>
          <w:rFonts w:ascii="Arial" w:eastAsia="Arial" w:hAnsi="Arial" w:cs="Arial"/>
          <w:color w:val="000000"/>
          <w:sz w:val="22"/>
          <w:szCs w:val="22"/>
        </w:rPr>
        <w:t>Feuerbach</w:t>
      </w:r>
      <w:proofErr w:type="spellEnd"/>
      <w:r w:rsidRPr="00D42D44">
        <w:rPr>
          <w:rFonts w:ascii="Arial" w:eastAsia="Arial" w:hAnsi="Arial" w:cs="Arial"/>
          <w:color w:val="000000"/>
          <w:sz w:val="22"/>
          <w:szCs w:val="22"/>
        </w:rPr>
        <w:t>, L’autentica natura della religione.</w:t>
      </w:r>
    </w:p>
    <w:p w14:paraId="01B77456" w14:textId="77777777" w:rsidR="00D42D44" w:rsidRPr="00D42D44" w:rsidRDefault="00D42D44" w:rsidP="00D42D44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42D44">
        <w:rPr>
          <w:rFonts w:ascii="Arial" w:eastAsia="Arial" w:hAnsi="Arial" w:cs="Arial"/>
          <w:color w:val="000000"/>
          <w:sz w:val="22"/>
          <w:szCs w:val="22"/>
        </w:rPr>
        <w:t>F. Nietzsche, L’eterno ritorno.</w:t>
      </w:r>
    </w:p>
    <w:p w14:paraId="00000047" w14:textId="4AE983D7" w:rsidR="006928A7" w:rsidRDefault="006928A7" w:rsidP="00D42D44">
      <w:pPr>
        <w:shd w:val="clear" w:color="auto" w:fill="FFFFFF"/>
        <w:jc w:val="both"/>
        <w:rPr>
          <w:rFonts w:ascii="Arial" w:eastAsia="Arial" w:hAnsi="Arial" w:cs="Arial"/>
          <w:i/>
          <w:sz w:val="22"/>
          <w:szCs w:val="22"/>
        </w:rPr>
      </w:pPr>
    </w:p>
    <w:sectPr w:rsidR="006928A7"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8A7"/>
    <w:rsid w:val="006928A7"/>
    <w:rsid w:val="00C3107C"/>
    <w:rsid w:val="00D4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6B0C0"/>
  <w15:docId w15:val="{4114A449-B817-411B-867F-DEA3D97A9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D02D04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3KcsHcEwpGIKIWFpKZAi+JdV2w==">AMUW2mV91xcpdmXAhzxeScUokTRA3wWgixEi4LWQta0UzyRwlNVkYOXyz9ajYKlPAz3vbgcWLYdrWCDVd/icIK+aru73r7CbnR1fUJHS7yNY0r3ZICGfy2a72LlJO13KzXd1OH6WGREc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NEVIO TOSORATTI</dc:creator>
  <cp:lastModifiedBy>chiara.chinello</cp:lastModifiedBy>
  <cp:revision>2</cp:revision>
  <dcterms:created xsi:type="dcterms:W3CDTF">2022-06-06T08:57:00Z</dcterms:created>
  <dcterms:modified xsi:type="dcterms:W3CDTF">2022-06-06T08:57:00Z</dcterms:modified>
</cp:coreProperties>
</file>