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045D97">
              <w:rPr>
                <w:b/>
                <w:sz w:val="28"/>
                <w:szCs w:val="28"/>
              </w:rPr>
              <w:t>4C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alle più recenti discussioni sui limiti del diritto di parola sul web e sul rapporto tra femminismo e multiculturalismo); </w:t>
            </w:r>
            <w:r w:rsidR="00045D97">
              <w:rPr>
                <w:b/>
                <w:sz w:val="20"/>
                <w:szCs w:val="20"/>
              </w:rPr>
              <w:t>“</w:t>
            </w:r>
            <w:proofErr w:type="spellStart"/>
            <w:r w:rsidR="00045D97">
              <w:rPr>
                <w:b/>
                <w:sz w:val="20"/>
                <w:szCs w:val="20"/>
              </w:rPr>
              <w:t>we</w:t>
            </w:r>
            <w:proofErr w:type="spellEnd"/>
            <w:r w:rsidR="00045D97">
              <w:rPr>
                <w:b/>
                <w:sz w:val="20"/>
                <w:szCs w:val="20"/>
              </w:rPr>
              <w:t xml:space="preserve"> the </w:t>
            </w:r>
            <w:proofErr w:type="spellStart"/>
            <w:r w:rsidR="00045D97">
              <w:rPr>
                <w:b/>
                <w:sz w:val="20"/>
                <w:szCs w:val="20"/>
              </w:rPr>
              <w:t>people</w:t>
            </w:r>
            <w:proofErr w:type="spellEnd"/>
            <w:r w:rsidR="00045D97">
              <w:rPr>
                <w:b/>
                <w:sz w:val="20"/>
                <w:szCs w:val="20"/>
              </w:rPr>
              <w:t xml:space="preserve">” e il “paradosso del </w:t>
            </w:r>
            <w:proofErr w:type="spellStart"/>
            <w:r w:rsidR="00045D97">
              <w:rPr>
                <w:b/>
                <w:sz w:val="20"/>
                <w:szCs w:val="20"/>
              </w:rPr>
              <w:t>demos</w:t>
            </w:r>
            <w:proofErr w:type="spellEnd"/>
            <w:r w:rsidR="00045D97">
              <w:rPr>
                <w:b/>
                <w:sz w:val="20"/>
                <w:szCs w:val="20"/>
              </w:rPr>
              <w:t xml:space="preserve">”; </w:t>
            </w:r>
            <w:r w:rsidR="00045D97">
              <w:rPr>
                <w:b/>
                <w:sz w:val="20"/>
                <w:szCs w:val="20"/>
              </w:rPr>
              <w:t>approfondimenti su liberalismo, teoria democratica, concetto di “nazione” e socialismo</w:t>
            </w:r>
            <w:r w:rsidR="00045D97">
              <w:rPr>
                <w:b/>
                <w:sz w:val="20"/>
                <w:szCs w:val="20"/>
              </w:rPr>
              <w:t>.</w:t>
            </w:r>
          </w:p>
        </w:tc>
      </w:tr>
    </w:tbl>
    <w:p w:rsidR="00B765E0" w:rsidRPr="00F32B1C" w:rsidRDefault="00045D97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45D97"/>
    <w:rsid w:val="000B731C"/>
    <w:rsid w:val="0019583F"/>
    <w:rsid w:val="0055269E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D3792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2021-05-30T23:48:00Z</dcterms:modified>
</cp:coreProperties>
</file>