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>CLASSE 1</w:t>
            </w:r>
            <w:r w:rsidR="0035249C">
              <w:rPr>
                <w:b/>
                <w:sz w:val="28"/>
                <w:szCs w:val="28"/>
              </w:rPr>
              <w:t>L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</w:t>
            </w:r>
            <w:r w:rsidR="0035249C">
              <w:rPr>
                <w:b/>
                <w:sz w:val="20"/>
                <w:szCs w:val="20"/>
              </w:rPr>
              <w:t>alle più recenti discussioni sui limiti del diritto di parola sul web e sul cosiddetto “paradosso della tolleranza”</w:t>
            </w:r>
            <w:r>
              <w:rPr>
                <w:b/>
                <w:sz w:val="20"/>
                <w:szCs w:val="20"/>
              </w:rPr>
              <w:t xml:space="preserve">); </w:t>
            </w:r>
            <w:r w:rsidR="0035249C">
              <w:rPr>
                <w:b/>
                <w:sz w:val="20"/>
                <w:szCs w:val="20"/>
              </w:rPr>
              <w:t>approfondimenti su “barbaro”, “giustizia”, “democrazia”, “educazione” in antica Grecia</w:t>
            </w:r>
            <w:r w:rsidR="0035249C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860AF7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35249C"/>
    <w:rsid w:val="0055269E"/>
    <w:rsid w:val="00860AF7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25778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2021-05-30T23:06:00Z</dcterms:modified>
</cp:coreProperties>
</file>